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06"/>
        <w:gridCol w:w="611"/>
        <w:gridCol w:w="6508"/>
        <w:gridCol w:w="150"/>
      </w:tblGrid>
      <w:tr w:rsidR="00BB4390" w14:paraId="41F77529" w14:textId="77777777" w:rsidTr="001B60D8">
        <w:trPr>
          <w:gridAfter w:val="1"/>
          <w:trHeight w:val="1008"/>
        </w:trPr>
        <w:sdt>
          <w:sdtPr>
            <w:id w:val="-860277065"/>
            <w:placeholder>
              <w:docPart w:val="C6B3389FD75F4C79BA635621C84CE49B"/>
            </w:placeholder>
          </w:sdtPr>
          <w:sdtEndPr/>
          <w:sdtContent>
            <w:tc>
              <w:tcPr>
                <w:tcW w:w="2133" w:type="dxa"/>
                <w:gridSpan w:val="2"/>
                <w:vAlign w:val="center"/>
              </w:tcPr>
              <w:p w14:paraId="6C8D74FE" w14:textId="77777777" w:rsidR="00BB4390" w:rsidRPr="001445BD" w:rsidRDefault="00BC0A2A" w:rsidP="00BC0A2A">
                <w:pPr>
                  <w:pStyle w:val="PolicyTitle"/>
                </w:pPr>
                <w:r>
                  <w:t>4-OP-E-7</w:t>
                </w:r>
              </w:p>
            </w:tc>
          </w:sdtContent>
        </w:sdt>
        <w:sdt>
          <w:sdtPr>
            <w:id w:val="-222986732"/>
            <w:placeholder>
              <w:docPart w:val="8470A32AE1724FB493514B7C497CC36C"/>
            </w:placeholder>
          </w:sdtPr>
          <w:sdtEndPr/>
          <w:sdtContent>
            <w:tc>
              <w:tcPr>
                <w:tcW w:w="7371" w:type="dxa"/>
                <w:gridSpan w:val="2"/>
                <w:vAlign w:val="center"/>
              </w:tcPr>
              <w:p w14:paraId="09CE148F" w14:textId="77777777" w:rsidR="00BB4390" w:rsidRPr="001445BD" w:rsidRDefault="00BC0A2A" w:rsidP="00BC0A2A">
                <w:pPr>
                  <w:pStyle w:val="PolicyTitle"/>
                </w:pPr>
                <w:r>
                  <w:t>Unmanned aircraft systems operation policy</w:t>
                </w:r>
              </w:p>
            </w:tc>
          </w:sdtContent>
        </w:sdt>
      </w:tr>
      <w:tr w:rsidR="001445BD" w14:paraId="112DA32E" w14:textId="77777777" w:rsidTr="00DC4C22">
        <w:trPr>
          <w:gridAfter w:val="1"/>
          <w:trHeight w:val="20"/>
        </w:trPr>
        <w:tc>
          <w:tcPr>
            <w:tcW w:w="2764" w:type="dxa"/>
            <w:gridSpan w:val="3"/>
            <w:vAlign w:val="center"/>
          </w:tcPr>
          <w:p w14:paraId="4D567D1C"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48FE5DBD0D18421BB667C0F94E5BF4D1"/>
            </w:placeholder>
          </w:sdtPr>
          <w:sdtEndPr/>
          <w:sdtContent>
            <w:tc>
              <w:tcPr>
                <w:tcW w:w="6740" w:type="dxa"/>
                <w:vAlign w:val="center"/>
              </w:tcPr>
              <w:p w14:paraId="0A0A8580" w14:textId="3EDEADD5" w:rsidR="00F41A18" w:rsidRDefault="004A56F5" w:rsidP="004A56F5">
                <w:pPr>
                  <w:spacing w:after="0"/>
                </w:pPr>
                <w:r>
                  <w:t>Vice President for Finance &amp; Administration</w:t>
                </w:r>
                <w:r w:rsidR="00F41A18">
                  <w:t xml:space="preserve"> and </w:t>
                </w:r>
              </w:p>
              <w:p w14:paraId="50B0294F" w14:textId="48817F82" w:rsidR="001445BD" w:rsidRDefault="00F41A18" w:rsidP="004A56F5">
                <w:pPr>
                  <w:spacing w:after="0"/>
                </w:pPr>
                <w:r>
                  <w:t xml:space="preserve">Vice President for Research </w:t>
                </w:r>
              </w:p>
            </w:tc>
          </w:sdtContent>
        </w:sdt>
      </w:tr>
      <w:tr w:rsidR="001445BD" w14:paraId="1A4F0786" w14:textId="77777777" w:rsidTr="00DC4C22">
        <w:trPr>
          <w:gridAfter w:val="1"/>
          <w:trHeight w:val="20"/>
        </w:trPr>
        <w:tc>
          <w:tcPr>
            <w:tcW w:w="2764" w:type="dxa"/>
            <w:gridSpan w:val="3"/>
            <w:vAlign w:val="center"/>
          </w:tcPr>
          <w:p w14:paraId="1ED9C945"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495FED55E2A64664A9C32F64F2FD7AE5"/>
            </w:placeholder>
          </w:sdtPr>
          <w:sdtEndPr/>
          <w:sdtContent>
            <w:tc>
              <w:tcPr>
                <w:tcW w:w="6740" w:type="dxa"/>
                <w:vAlign w:val="center"/>
              </w:tcPr>
              <w:p w14:paraId="240B2054" w14:textId="4AD7B8F7" w:rsidR="00F41A18" w:rsidRDefault="004A56F5" w:rsidP="00BC0A2A">
                <w:pPr>
                  <w:spacing w:after="0"/>
                </w:pPr>
                <w:r>
                  <w:t>Vice President for Finance &amp; Administration</w:t>
                </w:r>
                <w:r w:rsidR="00F41A18">
                  <w:t xml:space="preserve"> and </w:t>
                </w:r>
              </w:p>
              <w:p w14:paraId="59E3FC33" w14:textId="34B836D6" w:rsidR="001445BD" w:rsidRDefault="00F41A18" w:rsidP="00BC0A2A">
                <w:pPr>
                  <w:spacing w:after="0"/>
                </w:pPr>
                <w:r>
                  <w:t xml:space="preserve">Vice President for Research </w:t>
                </w:r>
              </w:p>
            </w:tc>
          </w:sdtContent>
        </w:sdt>
      </w:tr>
      <w:tr w:rsidR="001445BD" w14:paraId="0FF7F7BC" w14:textId="77777777" w:rsidTr="00DC4C22">
        <w:trPr>
          <w:gridAfter w:val="1"/>
          <w:trHeight w:val="20"/>
        </w:trPr>
        <w:tc>
          <w:tcPr>
            <w:tcW w:w="2764" w:type="dxa"/>
            <w:gridSpan w:val="3"/>
            <w:vAlign w:val="center"/>
          </w:tcPr>
          <w:p w14:paraId="64E04EBC"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57EDEB5BAB0D46C2BF292487005CBB8A"/>
            </w:placeholder>
          </w:sdtPr>
          <w:sdtEndPr/>
          <w:sdtContent>
            <w:tc>
              <w:tcPr>
                <w:tcW w:w="6740" w:type="dxa"/>
                <w:vAlign w:val="center"/>
              </w:tcPr>
              <w:p w14:paraId="0C395ED6" w14:textId="77777777" w:rsidR="001445BD" w:rsidRDefault="00BC0A2A" w:rsidP="00C30522">
                <w:pPr>
                  <w:spacing w:after="0"/>
                </w:pPr>
                <w:r>
                  <w:t>[</w:t>
                </w:r>
                <w:r w:rsidR="00C30522">
                  <w:t>To Be Entered: Date</w:t>
                </w:r>
                <w:r>
                  <w:t xml:space="preserve"> 21 days after public posting]</w:t>
                </w:r>
              </w:p>
            </w:tc>
          </w:sdtContent>
        </w:sdt>
      </w:tr>
      <w:tr w:rsidR="001445BD" w14:paraId="7BB8E58D" w14:textId="77777777" w:rsidTr="00C15D32">
        <w:trPr>
          <w:gridAfter w:val="1"/>
          <w:trHeight w:val="20"/>
        </w:trPr>
        <w:tc>
          <w:tcPr>
            <w:tcW w:w="2764" w:type="dxa"/>
            <w:gridSpan w:val="3"/>
          </w:tcPr>
          <w:p w14:paraId="36E79F6B"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B31141A1D0FF4792AC4100FA578EABB1"/>
            </w:placeholder>
          </w:sdtPr>
          <w:sdtEndPr/>
          <w:sdtContent>
            <w:tc>
              <w:tcPr>
                <w:tcW w:w="6740" w:type="dxa"/>
                <w:vAlign w:val="center"/>
              </w:tcPr>
              <w:p w14:paraId="6EDBA795" w14:textId="0EB7E5AC" w:rsidR="001445BD" w:rsidRDefault="006752D8" w:rsidP="006752D8">
                <w:pPr>
                  <w:spacing w:after="0"/>
                </w:pPr>
                <w:r>
                  <w:t>1-1-</w:t>
                </w:r>
                <w:r w:rsidR="00BC0A2A">
                  <w:t>2016</w:t>
                </w:r>
              </w:p>
            </w:tc>
          </w:sdtContent>
        </w:sdt>
      </w:tr>
      <w:tr w:rsidR="00D4614A" w14:paraId="37112459" w14:textId="77777777" w:rsidTr="001B60D8">
        <w:trPr>
          <w:gridAfter w:val="1"/>
          <w:trHeight w:val="432"/>
        </w:trPr>
        <w:tc>
          <w:tcPr>
            <w:tcW w:w="2764" w:type="dxa"/>
            <w:gridSpan w:val="3"/>
            <w:vAlign w:val="center"/>
          </w:tcPr>
          <w:p w14:paraId="7F4B5E1C" w14:textId="77777777" w:rsidR="00D4614A" w:rsidRPr="001445BD" w:rsidRDefault="00D4614A" w:rsidP="00BB4390">
            <w:pPr>
              <w:rPr>
                <w:rStyle w:val="Strong"/>
              </w:rPr>
            </w:pPr>
          </w:p>
        </w:tc>
        <w:tc>
          <w:tcPr>
            <w:tcW w:w="6740" w:type="dxa"/>
            <w:vAlign w:val="center"/>
          </w:tcPr>
          <w:p w14:paraId="09665D2C" w14:textId="77777777" w:rsidR="00D4614A" w:rsidRDefault="00D4614A" w:rsidP="00BB4390">
            <w:bookmarkStart w:id="0" w:name="_GoBack"/>
            <w:bookmarkEnd w:id="0"/>
          </w:p>
        </w:tc>
      </w:tr>
      <w:tr w:rsidR="00B6798D" w14:paraId="61F33CE4" w14:textId="77777777" w:rsidTr="00A9711A">
        <w:trPr>
          <w:gridAfter w:val="1"/>
          <w:trHeight w:val="20"/>
        </w:trPr>
        <w:tc>
          <w:tcPr>
            <w:tcW w:w="485" w:type="dxa"/>
            <w:vAlign w:val="center"/>
          </w:tcPr>
          <w:p w14:paraId="27AC2920" w14:textId="77777777" w:rsidR="00B6798D" w:rsidRPr="001B60D8" w:rsidRDefault="001B60D8" w:rsidP="001B60D8">
            <w:pPr>
              <w:pStyle w:val="PolicyTitle"/>
            </w:pPr>
            <w:r w:rsidRPr="001B60D8">
              <w:t>I.</w:t>
            </w:r>
          </w:p>
        </w:tc>
        <w:tc>
          <w:tcPr>
            <w:tcW w:w="9019" w:type="dxa"/>
            <w:gridSpan w:val="3"/>
            <w:vAlign w:val="center"/>
          </w:tcPr>
          <w:p w14:paraId="12B26C59" w14:textId="77777777" w:rsidR="00B6798D" w:rsidRPr="001B60D8" w:rsidRDefault="00B6798D" w:rsidP="001B60D8">
            <w:pPr>
              <w:pStyle w:val="PolicyTitle"/>
            </w:pPr>
            <w:r w:rsidRPr="001B60D8">
              <w:t>INTRODUCTION</w:t>
            </w:r>
          </w:p>
        </w:tc>
      </w:tr>
      <w:tr w:rsidR="00B6798D" w14:paraId="28EF641B" w14:textId="77777777" w:rsidTr="001B60D8">
        <w:trPr>
          <w:trHeight w:val="432"/>
        </w:trPr>
        <w:tc>
          <w:tcPr>
            <w:tcW w:w="485" w:type="dxa"/>
            <w:vAlign w:val="center"/>
          </w:tcPr>
          <w:p w14:paraId="4B73D743" w14:textId="77777777" w:rsidR="00B6798D" w:rsidRDefault="00B6798D" w:rsidP="00C911D9"/>
        </w:tc>
        <w:sdt>
          <w:sdtPr>
            <w:alias w:val="Introduction"/>
            <w:tag w:val="Introduction"/>
            <w:id w:val="130066500"/>
            <w:placeholder>
              <w:docPart w:val="A222788D5A2147B2A41BBB3B5407C40B"/>
            </w:placeholder>
          </w:sdtPr>
          <w:sdtEndPr/>
          <w:sdtContent>
            <w:tc>
              <w:tcPr>
                <w:tcW w:w="9019" w:type="dxa"/>
                <w:gridSpan w:val="3"/>
                <w:vAlign w:val="center"/>
              </w:tcPr>
              <w:p w14:paraId="3615F66A" w14:textId="77777777" w:rsidR="00BC0A2A" w:rsidRPr="00651350" w:rsidRDefault="00BC0A2A" w:rsidP="00BC0A2A">
                <w:pPr>
                  <w:spacing w:after="240"/>
                  <w:rPr>
                    <w:rFonts w:eastAsia="Times New Roman"/>
                    <w:b/>
                    <w:sz w:val="24"/>
                    <w:szCs w:val="24"/>
                  </w:rPr>
                </w:pPr>
                <w:r>
                  <w:rPr>
                    <w:rFonts w:eastAsia="Times New Roman"/>
                    <w:b/>
                    <w:sz w:val="24"/>
                    <w:szCs w:val="24"/>
                  </w:rPr>
                  <w:t>OBJECTIVE</w:t>
                </w:r>
              </w:p>
              <w:p w14:paraId="039B0885" w14:textId="77777777" w:rsidR="00BC0A2A" w:rsidRPr="009F6D91" w:rsidRDefault="00BC0A2A" w:rsidP="00BC0A2A">
                <w:pPr>
                  <w:spacing w:after="240"/>
                  <w:rPr>
                    <w:rFonts w:eastAsia="Times New Roman"/>
                    <w:sz w:val="24"/>
                    <w:szCs w:val="24"/>
                  </w:rPr>
                </w:pPr>
                <w:r>
                  <w:rPr>
                    <w:rFonts w:eastAsia="Times New Roman"/>
                    <w:sz w:val="24"/>
                    <w:szCs w:val="24"/>
                  </w:rPr>
                  <w:t xml:space="preserve">To provide an official University policy pertaining to use of unmanned aircraft systems on property owned and managed by Florida State University.  </w:t>
                </w:r>
              </w:p>
              <w:p w14:paraId="6DA278C8" w14:textId="77777777" w:rsidR="00BC0A2A" w:rsidRPr="009F6D91" w:rsidRDefault="00BC0A2A" w:rsidP="00BC0A2A">
                <w:pPr>
                  <w:spacing w:after="240"/>
                  <w:rPr>
                    <w:rFonts w:eastAsia="Times New Roman"/>
                    <w:sz w:val="24"/>
                    <w:szCs w:val="24"/>
                  </w:rPr>
                </w:pPr>
                <w:r w:rsidRPr="009F6D91">
                  <w:rPr>
                    <w:rFonts w:eastAsia="Times New Roman"/>
                    <w:b/>
                    <w:bCs/>
                    <w:sz w:val="24"/>
                    <w:szCs w:val="24"/>
                  </w:rPr>
                  <w:t>OVERVIEW</w:t>
                </w:r>
              </w:p>
              <w:p w14:paraId="0D007FC7" w14:textId="77777777" w:rsidR="00BC0A2A" w:rsidRDefault="00BC0A2A" w:rsidP="00BC0A2A">
                <w:pPr>
                  <w:spacing w:after="240"/>
                  <w:rPr>
                    <w:rFonts w:eastAsia="Times New Roman"/>
                    <w:sz w:val="24"/>
                    <w:szCs w:val="24"/>
                  </w:rPr>
                </w:pPr>
                <w:r>
                  <w:rPr>
                    <w:rFonts w:eastAsia="Times New Roman"/>
                    <w:sz w:val="24"/>
                    <w:szCs w:val="24"/>
                  </w:rPr>
                  <w:t xml:space="preserve">The Federal Aviation Administration and relevant state and federal laws regulate the operation of unmanned aircraft systems, including drones and model aircraft. </w:t>
                </w:r>
                <w:r w:rsidRPr="002A0A02">
                  <w:rPr>
                    <w:rFonts w:eastAsia="Times New Roman"/>
                    <w:sz w:val="24"/>
                    <w:szCs w:val="24"/>
                  </w:rPr>
                  <w:t xml:space="preserve">Additionally, both the Department of State (under International Traffic in Arms Regulations or ITAR) and the Department of Commerce (under Export Administration Regulations or EAR) regulate export control over various forms of </w:t>
                </w:r>
                <w:r>
                  <w:rPr>
                    <w:rFonts w:eastAsia="Times New Roman"/>
                    <w:sz w:val="24"/>
                    <w:szCs w:val="24"/>
                  </w:rPr>
                  <w:t>unmanned aircraft system (UAS)</w:t>
                </w:r>
                <w:r w:rsidRPr="002A0A02">
                  <w:rPr>
                    <w:rFonts w:eastAsia="Times New Roman"/>
                    <w:sz w:val="24"/>
                    <w:szCs w:val="24"/>
                  </w:rPr>
                  <w:t xml:space="preserve"> technology.</w:t>
                </w:r>
                <w:r>
                  <w:rPr>
                    <w:rFonts w:eastAsia="Times New Roman"/>
                    <w:sz w:val="24"/>
                    <w:szCs w:val="24"/>
                  </w:rPr>
                  <w:t xml:space="preserve"> Florida State University establishes this policy to ensure compliance with those legal obligations for the safety and welfare of its students, employees, and visitors.   </w:t>
                </w:r>
              </w:p>
              <w:p w14:paraId="6732B727" w14:textId="77777777" w:rsidR="00BC0A2A" w:rsidRPr="00380312" w:rsidRDefault="00BC0A2A" w:rsidP="00BC0A2A">
                <w:pPr>
                  <w:pStyle w:val="ListParagraph"/>
                  <w:numPr>
                    <w:ilvl w:val="0"/>
                    <w:numId w:val="5"/>
                  </w:numPr>
                  <w:spacing w:after="240"/>
                  <w:contextualSpacing w:val="0"/>
                  <w:rPr>
                    <w:rFonts w:eastAsia="Times New Roman"/>
                    <w:sz w:val="24"/>
                    <w:szCs w:val="24"/>
                  </w:rPr>
                </w:pPr>
                <w:r w:rsidRPr="00DC77A0">
                  <w:rPr>
                    <w:rFonts w:eastAsia="Times New Roman"/>
                    <w:b/>
                    <w:sz w:val="24"/>
                    <w:szCs w:val="24"/>
                  </w:rPr>
                  <w:t>DEFINITIONS</w:t>
                </w:r>
              </w:p>
              <w:p w14:paraId="1FA94669" w14:textId="6B9CDC1C"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 xml:space="preserve">Aeronautical Research: </w:t>
                </w:r>
                <w:r w:rsidR="00D526C0">
                  <w:rPr>
                    <w:rFonts w:eastAsia="Times New Roman"/>
                    <w:sz w:val="24"/>
                    <w:szCs w:val="24"/>
                  </w:rPr>
                  <w:t>The term “aeronautical research”</w:t>
                </w:r>
                <w:r w:rsidRPr="00F713F9">
                  <w:rPr>
                    <w:rFonts w:eastAsia="Times New Roman"/>
                    <w:sz w:val="24"/>
                    <w:szCs w:val="24"/>
                  </w:rPr>
                  <w:t xml:space="preserve"> would have at its core the development of aircraft and systems. For UAS, the FAA interprets the term as research and testing of the aircraft themselves, the control systems, equipment that is part of the aircraft (such as sensors), flight profiles, or development of specific functions and capabilities for them.</w:t>
                </w:r>
              </w:p>
              <w:p w14:paraId="3BFEEB8F" w14:textId="77777777" w:rsidR="00BC0A2A" w:rsidRDefault="00BC0A2A" w:rsidP="00BC0A2A">
                <w:pPr>
                  <w:pStyle w:val="ListParagraph"/>
                  <w:numPr>
                    <w:ilvl w:val="0"/>
                    <w:numId w:val="4"/>
                  </w:numPr>
                  <w:spacing w:after="240"/>
                  <w:contextualSpacing w:val="0"/>
                  <w:rPr>
                    <w:rFonts w:eastAsia="Times New Roman"/>
                    <w:sz w:val="24"/>
                    <w:szCs w:val="24"/>
                  </w:rPr>
                </w:pPr>
                <w:r w:rsidRPr="001E4C8F">
                  <w:rPr>
                    <w:rFonts w:eastAsia="Times New Roman"/>
                    <w:sz w:val="24"/>
                    <w:szCs w:val="24"/>
                  </w:rPr>
                  <w:t>Certificate of Authorization (COA): According to the FAA, the COA is an authorization issued by the Air Traffic Organization to a public oper</w:t>
                </w:r>
                <w:r>
                  <w:rPr>
                    <w:rFonts w:eastAsia="Times New Roman"/>
                    <w:sz w:val="24"/>
                    <w:szCs w:val="24"/>
                  </w:rPr>
                  <w:t xml:space="preserve">ator for a specific UA activity. </w:t>
                </w:r>
                <w:r w:rsidRPr="001E4C8F">
                  <w:rPr>
                    <w:rFonts w:eastAsia="Times New Roman"/>
                    <w:sz w:val="24"/>
                    <w:szCs w:val="24"/>
                  </w:rPr>
                  <w:t xml:space="preserve">FSU’s COA Coordinator is the Director of </w:t>
                </w:r>
                <w:hyperlink r:id="rId8" w:history="1">
                  <w:r w:rsidRPr="001E4C8F">
                    <w:rPr>
                      <w:rStyle w:val="Hyperlink"/>
                      <w:rFonts w:eastAsia="Times New Roman"/>
                      <w:sz w:val="24"/>
                      <w:szCs w:val="24"/>
                    </w:rPr>
                    <w:t>Research Compliance Programs</w:t>
                  </w:r>
                </w:hyperlink>
                <w:r w:rsidRPr="001E4C8F">
                  <w:rPr>
                    <w:rFonts w:eastAsia="Times New Roman"/>
                    <w:sz w:val="24"/>
                    <w:szCs w:val="24"/>
                  </w:rPr>
                  <w:t xml:space="preserve">. </w:t>
                </w:r>
              </w:p>
              <w:p w14:paraId="3D9F9661" w14:textId="77777777" w:rsidR="00BC0A2A" w:rsidRDefault="00BC0A2A" w:rsidP="00BC0A2A">
                <w:pPr>
                  <w:pStyle w:val="ListParagraph"/>
                  <w:numPr>
                    <w:ilvl w:val="0"/>
                    <w:numId w:val="4"/>
                  </w:numPr>
                  <w:spacing w:after="240"/>
                  <w:contextualSpacing w:val="0"/>
                  <w:rPr>
                    <w:rFonts w:eastAsia="Times New Roman"/>
                    <w:sz w:val="24"/>
                    <w:szCs w:val="24"/>
                  </w:rPr>
                </w:pPr>
                <w:r w:rsidRPr="001E0F82">
                  <w:rPr>
                    <w:rFonts w:eastAsia="Times New Roman"/>
                    <w:sz w:val="24"/>
                    <w:szCs w:val="24"/>
                  </w:rPr>
                  <w:t>Commercial or Business</w:t>
                </w:r>
                <w:r>
                  <w:rPr>
                    <w:rFonts w:eastAsia="Times New Roman"/>
                    <w:sz w:val="24"/>
                    <w:szCs w:val="24"/>
                  </w:rPr>
                  <w:t xml:space="preserve"> U</w:t>
                </w:r>
                <w:r w:rsidRPr="001E0F82">
                  <w:rPr>
                    <w:rFonts w:eastAsia="Times New Roman"/>
                    <w:sz w:val="24"/>
                    <w:szCs w:val="24"/>
                  </w:rPr>
                  <w:t xml:space="preserve">ser: Any commercial use in connection with a business, including: Selling photos or videos taken from a UAS, using UAS to </w:t>
                </w:r>
                <w:r w:rsidRPr="001E0F82">
                  <w:rPr>
                    <w:rFonts w:eastAsia="Times New Roman"/>
                    <w:sz w:val="24"/>
                    <w:szCs w:val="24"/>
                  </w:rPr>
                  <w:lastRenderedPageBreak/>
                  <w:t>provide contract services, such as industrial equipment or factory inspection, or using UAS to provide professional services, such as security or telecommunications. Examples of commercial users are:</w:t>
                </w:r>
                <w:r w:rsidRPr="001E0F82">
                  <w:t xml:space="preserve"> </w:t>
                </w:r>
                <w:r w:rsidRPr="001E0F82">
                  <w:rPr>
                    <w:rFonts w:eastAsia="Times New Roman"/>
                    <w:sz w:val="24"/>
                    <w:szCs w:val="24"/>
                  </w:rPr>
                  <w:t>professional real estate or wedding photography, professional cinema photography for a film or television production or providing contract services for mapping or land surveys. Research other than aeronautical research also falls under this category.</w:t>
                </w:r>
              </w:p>
              <w:p w14:paraId="2E58E161" w14:textId="77777777" w:rsidR="00BC0A2A" w:rsidRPr="001E0F82" w:rsidRDefault="00BC0A2A" w:rsidP="00BC0A2A">
                <w:pPr>
                  <w:pStyle w:val="ListParagraph"/>
                  <w:numPr>
                    <w:ilvl w:val="0"/>
                    <w:numId w:val="4"/>
                  </w:numPr>
                  <w:spacing w:after="240"/>
                  <w:contextualSpacing w:val="0"/>
                  <w:rPr>
                    <w:rFonts w:eastAsia="Times New Roman"/>
                    <w:sz w:val="24"/>
                    <w:szCs w:val="24"/>
                    <w:u w:val="single"/>
                  </w:rPr>
                </w:pPr>
                <w:r>
                  <w:rPr>
                    <w:rFonts w:eastAsia="Times New Roman"/>
                    <w:sz w:val="24"/>
                    <w:szCs w:val="24"/>
                  </w:rPr>
                  <w:t>Hobbyist U</w:t>
                </w:r>
                <w:r w:rsidRPr="001E0F82">
                  <w:rPr>
                    <w:rFonts w:eastAsia="Times New Roman"/>
                    <w:sz w:val="24"/>
                    <w:szCs w:val="24"/>
                  </w:rPr>
                  <w:t>ser: Recreational or hobby use is typically understood as the UAS is being flown for personal interest and enjoyment and not for business purposes or compensation or hire.</w:t>
                </w:r>
                <w:r w:rsidRPr="001E0F82">
                  <w:t xml:space="preserve"> </w:t>
                </w:r>
                <w:r w:rsidRPr="001E0F82">
                  <w:rPr>
                    <w:sz w:val="24"/>
                  </w:rPr>
                  <w:t>Student use of drones at accredited educational institutions as a component of their science, technology</w:t>
                </w:r>
                <w:r>
                  <w:rPr>
                    <w:sz w:val="24"/>
                  </w:rPr>
                  <w:t>,</w:t>
                </w:r>
                <w:r w:rsidRPr="001E0F82">
                  <w:rPr>
                    <w:sz w:val="24"/>
                  </w:rPr>
                  <w:t xml:space="preserve"> and aviation-related educational curricula, or other coursework such as television and f</w:t>
                </w:r>
                <w:r w:rsidR="00F53D48">
                  <w:rPr>
                    <w:sz w:val="24"/>
                  </w:rPr>
                  <w:t>ilm production or the arts, is “</w:t>
                </w:r>
                <w:r w:rsidRPr="001E0F82">
                  <w:rPr>
                    <w:sz w:val="24"/>
                  </w:rPr>
                  <w:t>hobby or recreational use” and can therefore be operated as model aircraft. Note that student operation of UASs will not qualify as hobby or recreational use if the UAS is used in support of a faculty member’s research or other sponsored activities, or the student receive</w:t>
                </w:r>
                <w:r>
                  <w:rPr>
                    <w:sz w:val="24"/>
                  </w:rPr>
                  <w:t>s</w:t>
                </w:r>
                <w:r w:rsidRPr="001E0F82">
                  <w:rPr>
                    <w:sz w:val="24"/>
                  </w:rPr>
                  <w:t xml:space="preserve"> any form of compensation directly or incidentally related to the student’s operation of the UAS. Additionally, faculty participation in the student’s operation of the UAS will qualify as hobby or recreational only where the faculty member provides limited assistance to students operating the UAS.</w:t>
                </w:r>
              </w:p>
              <w:p w14:paraId="22CB0D6C" w14:textId="77777777" w:rsidR="00BC0A2A" w:rsidRPr="001E0F82" w:rsidRDefault="00BC0A2A" w:rsidP="00BC0A2A">
                <w:pPr>
                  <w:pStyle w:val="ListParagraph"/>
                  <w:numPr>
                    <w:ilvl w:val="0"/>
                    <w:numId w:val="4"/>
                  </w:numPr>
                  <w:spacing w:after="240"/>
                  <w:contextualSpacing w:val="0"/>
                  <w:rPr>
                    <w:rFonts w:eastAsia="Times New Roman"/>
                    <w:sz w:val="24"/>
                    <w:szCs w:val="24"/>
                    <w:u w:val="single"/>
                  </w:rPr>
                </w:pPr>
                <w:r w:rsidRPr="001E0F82">
                  <w:rPr>
                    <w:rFonts w:eastAsia="Times New Roman"/>
                    <w:sz w:val="24"/>
                    <w:szCs w:val="24"/>
                  </w:rPr>
                  <w:t>“Model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t>
                </w:r>
              </w:p>
              <w:p w14:paraId="62CEB123" w14:textId="77777777" w:rsidR="00BC0A2A" w:rsidRPr="00380312" w:rsidRDefault="00BC0A2A" w:rsidP="00BC0A2A">
                <w:pPr>
                  <w:pStyle w:val="ListParagraph"/>
                  <w:numPr>
                    <w:ilvl w:val="0"/>
                    <w:numId w:val="4"/>
                  </w:numPr>
                  <w:spacing w:after="240"/>
                  <w:contextualSpacing w:val="0"/>
                  <w:rPr>
                    <w:rFonts w:eastAsia="Times New Roman"/>
                    <w:sz w:val="24"/>
                    <w:szCs w:val="24"/>
                  </w:rPr>
                </w:pPr>
                <w:r w:rsidRPr="001E0F82">
                  <w:rPr>
                    <w:rFonts w:eastAsia="Times New Roman"/>
                    <w:sz w:val="24"/>
                    <w:szCs w:val="24"/>
                  </w:rPr>
                  <w:t>Part 107</w:t>
                </w:r>
                <w:r>
                  <w:rPr>
                    <w:rFonts w:eastAsia="Times New Roman"/>
                    <w:sz w:val="24"/>
                    <w:szCs w:val="24"/>
                  </w:rPr>
                  <w:t xml:space="preserve">: </w:t>
                </w:r>
                <w:r w:rsidRPr="001E0F82">
                  <w:rPr>
                    <w:rFonts w:eastAsia="Times New Roman"/>
                    <w:sz w:val="24"/>
                    <w:szCs w:val="24"/>
                  </w:rPr>
                  <w:t xml:space="preserve"> </w:t>
                </w:r>
                <w:r>
                  <w:rPr>
                    <w:rFonts w:eastAsia="Times New Roman"/>
                    <w:sz w:val="24"/>
                    <w:szCs w:val="24"/>
                  </w:rPr>
                  <w:t>Title 14, Part 107 of the Code of Federal Regulations (</w:t>
                </w:r>
                <w:hyperlink r:id="rId9" w:history="1">
                  <w:r w:rsidRPr="00C8324D">
                    <w:rPr>
                      <w:rStyle w:val="Hyperlink"/>
                      <w:rFonts w:eastAsia="Times New Roman"/>
                      <w:sz w:val="24"/>
                      <w:szCs w:val="24"/>
                    </w:rPr>
                    <w:t>14 CFR Part 107</w:t>
                  </w:r>
                </w:hyperlink>
                <w:r>
                  <w:rPr>
                    <w:rFonts w:eastAsia="Times New Roman"/>
                    <w:sz w:val="24"/>
                    <w:szCs w:val="24"/>
                  </w:rPr>
                  <w:t>) contains</w:t>
                </w:r>
                <w:r w:rsidRPr="001E0F82">
                  <w:rPr>
                    <w:rFonts w:eastAsia="Times New Roman"/>
                    <w:sz w:val="24"/>
                    <w:szCs w:val="24"/>
                  </w:rPr>
                  <w:t xml:space="preserve"> rules for non-hobbyist small unmanned aircraft (UAS) operations </w:t>
                </w:r>
                <w:r>
                  <w:rPr>
                    <w:rFonts w:eastAsia="Times New Roman"/>
                    <w:sz w:val="24"/>
                    <w:szCs w:val="24"/>
                  </w:rPr>
                  <w:t>and</w:t>
                </w:r>
                <w:r w:rsidRPr="001E0F82">
                  <w:rPr>
                    <w:rFonts w:eastAsia="Times New Roman"/>
                    <w:sz w:val="24"/>
                    <w:szCs w:val="24"/>
                  </w:rPr>
                  <w:t xml:space="preserve"> cover</w:t>
                </w:r>
                <w:r>
                  <w:rPr>
                    <w:rFonts w:eastAsia="Times New Roman"/>
                    <w:sz w:val="24"/>
                    <w:szCs w:val="24"/>
                  </w:rPr>
                  <w:t>s</w:t>
                </w:r>
                <w:r w:rsidRPr="001E0F82">
                  <w:rPr>
                    <w:rFonts w:eastAsia="Times New Roman"/>
                    <w:sz w:val="24"/>
                    <w:szCs w:val="24"/>
                  </w:rPr>
                  <w:t xml:space="preserve"> a broad spectrum of commercial uses for drones weighing less than 55 pounds including </w:t>
                </w:r>
                <w:r>
                  <w:rPr>
                    <w:rFonts w:eastAsia="Times New Roman"/>
                    <w:sz w:val="24"/>
                    <w:szCs w:val="24"/>
                  </w:rPr>
                  <w:t>o</w:t>
                </w:r>
                <w:r w:rsidRPr="001E0F82">
                  <w:rPr>
                    <w:rFonts w:eastAsia="Times New Roman"/>
                    <w:sz w:val="24"/>
                    <w:szCs w:val="24"/>
                  </w:rPr>
                  <w:t xml:space="preserve">perating </w:t>
                </w:r>
                <w:r>
                  <w:rPr>
                    <w:rFonts w:eastAsia="Times New Roman"/>
                    <w:sz w:val="24"/>
                    <w:szCs w:val="24"/>
                  </w:rPr>
                  <w:t>requirements, pilot c</w:t>
                </w:r>
                <w:r w:rsidRPr="001E0F82">
                  <w:rPr>
                    <w:rFonts w:eastAsia="Times New Roman"/>
                    <w:sz w:val="24"/>
                    <w:szCs w:val="24"/>
                  </w:rPr>
                  <w:t xml:space="preserve">ertifications, </w:t>
                </w:r>
                <w:r>
                  <w:rPr>
                    <w:rFonts w:eastAsia="Times New Roman"/>
                    <w:sz w:val="24"/>
                    <w:szCs w:val="24"/>
                  </w:rPr>
                  <w:t>a</w:t>
                </w:r>
                <w:r w:rsidRPr="001E0F82">
                  <w:rPr>
                    <w:rFonts w:eastAsia="Times New Roman"/>
                    <w:sz w:val="24"/>
                    <w:szCs w:val="24"/>
                  </w:rPr>
                  <w:t xml:space="preserve">irframe (UAS) </w:t>
                </w:r>
                <w:r>
                  <w:rPr>
                    <w:rFonts w:eastAsia="Times New Roman"/>
                    <w:sz w:val="24"/>
                    <w:szCs w:val="24"/>
                  </w:rPr>
                  <w:t>certifications, p</w:t>
                </w:r>
                <w:r w:rsidRPr="001E0F82">
                  <w:rPr>
                    <w:rFonts w:eastAsia="Times New Roman"/>
                    <w:sz w:val="24"/>
                    <w:szCs w:val="24"/>
                  </w:rPr>
                  <w:t xml:space="preserve">rivacy considerations and other relevant requirements. </w:t>
                </w:r>
              </w:p>
              <w:p w14:paraId="2E6E81CE" w14:textId="77777777" w:rsidR="00BC0A2A" w:rsidRPr="001E0F82"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Public/Governmental U</w:t>
                </w:r>
                <w:r w:rsidRPr="001E0F82">
                  <w:rPr>
                    <w:rFonts w:eastAsia="Times New Roman"/>
                    <w:sz w:val="24"/>
                    <w:szCs w:val="24"/>
                  </w:rPr>
                  <w:t>ser: Public entities, which include publically-funded universities, law enforcement, fire departments</w:t>
                </w:r>
                <w:r>
                  <w:rPr>
                    <w:rFonts w:eastAsia="Times New Roman"/>
                    <w:sz w:val="24"/>
                    <w:szCs w:val="24"/>
                  </w:rPr>
                  <w:t>,</w:t>
                </w:r>
                <w:r w:rsidRPr="001E0F82">
                  <w:rPr>
                    <w:rFonts w:eastAsia="Times New Roman"/>
                    <w:sz w:val="24"/>
                    <w:szCs w:val="24"/>
                  </w:rPr>
                  <w:t xml:space="preserve"> and other government agencies which conduct flight operations for a governmental function</w:t>
                </w:r>
                <w:r>
                  <w:rPr>
                    <w:rFonts w:eastAsia="Times New Roman"/>
                    <w:sz w:val="24"/>
                    <w:szCs w:val="24"/>
                  </w:rPr>
                  <w:t>, are considered public/governmental users</w:t>
                </w:r>
                <w:r w:rsidRPr="001E0F82">
                  <w:rPr>
                    <w:rFonts w:eastAsia="Times New Roman"/>
                    <w:sz w:val="24"/>
                    <w:szCs w:val="24"/>
                  </w:rPr>
                  <w:t>.</w:t>
                </w:r>
                <w:r>
                  <w:rPr>
                    <w:rFonts w:eastAsia="Times New Roman"/>
                    <w:sz w:val="24"/>
                    <w:szCs w:val="24"/>
                  </w:rPr>
                  <w:t xml:space="preserve"> </w:t>
                </w:r>
                <w:r w:rsidRPr="001E0F82">
                  <w:rPr>
                    <w:rFonts w:eastAsia="Times New Roman"/>
                    <w:sz w:val="24"/>
                    <w:szCs w:val="24"/>
                  </w:rPr>
                  <w:t xml:space="preserve">The term “government function” means any activity undertaken by a government, such as national defense, intelligence missions, firefighting, search and rescue, law enforcement, aeronautical research, or biological or geological resource management. </w:t>
                </w:r>
                <w:r>
                  <w:rPr>
                    <w:rFonts w:eastAsia="Times New Roman"/>
                    <w:sz w:val="24"/>
                    <w:szCs w:val="24"/>
                  </w:rPr>
                  <w:t xml:space="preserve"> Research that uses a </w:t>
                </w:r>
                <w:r w:rsidRPr="001E0F82">
                  <w:rPr>
                    <w:rFonts w:eastAsia="Times New Roman"/>
                    <w:sz w:val="24"/>
                    <w:szCs w:val="24"/>
                  </w:rPr>
                  <w:t>UAS</w:t>
                </w:r>
                <w:r>
                  <w:rPr>
                    <w:rFonts w:eastAsia="Times New Roman"/>
                    <w:sz w:val="24"/>
                    <w:szCs w:val="24"/>
                  </w:rPr>
                  <w:t xml:space="preserve"> and</w:t>
                </w:r>
                <w:r w:rsidRPr="001E0F82">
                  <w:rPr>
                    <w:rFonts w:eastAsia="Times New Roman"/>
                    <w:sz w:val="24"/>
                    <w:szCs w:val="24"/>
                  </w:rPr>
                  <w:t xml:space="preserve"> does not fall under “aeronautical research” is not a governmental function</w:t>
                </w:r>
                <w:r>
                  <w:rPr>
                    <w:rFonts w:eastAsia="Times New Roman"/>
                    <w:sz w:val="24"/>
                    <w:szCs w:val="24"/>
                  </w:rPr>
                  <w:t xml:space="preserve">, </w:t>
                </w:r>
                <w:r w:rsidRPr="001E0F82">
                  <w:rPr>
                    <w:rFonts w:eastAsia="Times New Roman"/>
                    <w:sz w:val="24"/>
                    <w:szCs w:val="24"/>
                  </w:rPr>
                  <w:t>and do</w:t>
                </w:r>
                <w:r>
                  <w:rPr>
                    <w:rFonts w:eastAsia="Times New Roman"/>
                    <w:sz w:val="24"/>
                    <w:szCs w:val="24"/>
                  </w:rPr>
                  <w:t>es</w:t>
                </w:r>
                <w:r w:rsidRPr="001E0F82">
                  <w:rPr>
                    <w:rFonts w:eastAsia="Times New Roman"/>
                    <w:sz w:val="24"/>
                    <w:szCs w:val="24"/>
                  </w:rPr>
                  <w:t xml:space="preserve"> not fall under this category. Similarly, education (teaching how to fly UASs) is not a governmental function and does not fall under this category.</w:t>
                </w:r>
              </w:p>
              <w:p w14:paraId="60767980" w14:textId="77777777"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lastRenderedPageBreak/>
                  <w:t>Reasonable E</w:t>
                </w:r>
                <w:r w:rsidRPr="001E0F82">
                  <w:rPr>
                    <w:rFonts w:eastAsia="Times New Roman"/>
                    <w:sz w:val="24"/>
                    <w:szCs w:val="24"/>
                  </w:rPr>
                  <w:t xml:space="preserve">xpectation of </w:t>
                </w:r>
                <w:r>
                  <w:rPr>
                    <w:rFonts w:eastAsia="Times New Roman"/>
                    <w:sz w:val="24"/>
                    <w:szCs w:val="24"/>
                  </w:rPr>
                  <w:t>P</w:t>
                </w:r>
                <w:r w:rsidRPr="001E0F82">
                  <w:rPr>
                    <w:rFonts w:eastAsia="Times New Roman"/>
                    <w:sz w:val="24"/>
                    <w:szCs w:val="24"/>
                  </w:rPr>
                  <w:t>rivacy</w:t>
                </w:r>
                <w:r>
                  <w:rPr>
                    <w:rFonts w:eastAsia="Times New Roman"/>
                    <w:sz w:val="24"/>
                    <w:szCs w:val="24"/>
                  </w:rPr>
                  <w:t>:</w:t>
                </w:r>
                <w:r w:rsidRPr="001E0F82">
                  <w:t xml:space="preserve"> </w:t>
                </w:r>
                <w:r w:rsidRPr="001E0F82">
                  <w:rPr>
                    <w:rFonts w:eastAsia="Times New Roman"/>
                    <w:sz w:val="24"/>
                    <w:szCs w:val="24"/>
                  </w:rPr>
                  <w:t>Locations where there is an objective expectation of privacy. Examples include but are not limited to restrooms, locker rooms, residence halls, and health treatment and medical facilities</w:t>
                </w:r>
                <w:r>
                  <w:rPr>
                    <w:rFonts w:eastAsia="Times New Roman"/>
                    <w:sz w:val="24"/>
                    <w:szCs w:val="24"/>
                  </w:rPr>
                  <w:t>.</w:t>
                </w:r>
              </w:p>
              <w:p w14:paraId="3C201026" w14:textId="77777777" w:rsidR="00BC0A2A" w:rsidRPr="00F94726" w:rsidRDefault="00BC0A2A" w:rsidP="00BC0A2A">
                <w:pPr>
                  <w:pStyle w:val="ListParagraph"/>
                  <w:numPr>
                    <w:ilvl w:val="0"/>
                    <w:numId w:val="4"/>
                  </w:numPr>
                  <w:spacing w:after="240"/>
                  <w:rPr>
                    <w:rFonts w:eastAsia="Times New Roman"/>
                    <w:sz w:val="24"/>
                    <w:szCs w:val="24"/>
                  </w:rPr>
                </w:pPr>
                <w:r>
                  <w:rPr>
                    <w:rFonts w:eastAsia="Times New Roman"/>
                    <w:sz w:val="24"/>
                    <w:szCs w:val="24"/>
                  </w:rPr>
                  <w:t>Responsible P</w:t>
                </w:r>
                <w:r w:rsidRPr="00F94726">
                  <w:rPr>
                    <w:rFonts w:eastAsia="Times New Roman"/>
                    <w:sz w:val="24"/>
                    <w:szCs w:val="24"/>
                  </w:rPr>
                  <w:t>erson:</w:t>
                </w:r>
                <w:r>
                  <w:rPr>
                    <w:rFonts w:eastAsia="Times New Roman"/>
                    <w:sz w:val="24"/>
                    <w:szCs w:val="24"/>
                  </w:rPr>
                  <w:t xml:space="preserve"> The Responsible Person identified on the Flight Request:</w:t>
                </w:r>
              </w:p>
              <w:p w14:paraId="351843D1"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 xml:space="preserve">Must ensure the operation is conducted safely and with strict observance of the </w:t>
                </w:r>
                <w:r>
                  <w:rPr>
                    <w:rFonts w:eastAsia="Times New Roman"/>
                    <w:sz w:val="24"/>
                    <w:szCs w:val="24"/>
                  </w:rPr>
                  <w:t>rules and regulations governing UAS flights</w:t>
                </w:r>
                <w:r w:rsidRPr="00F94726">
                  <w:rPr>
                    <w:rFonts w:eastAsia="Times New Roman"/>
                    <w:sz w:val="24"/>
                    <w:szCs w:val="24"/>
                  </w:rPr>
                  <w:t>.</w:t>
                </w:r>
              </w:p>
              <w:p w14:paraId="7EEE83BC"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Should be a person that has ongoing knowledge of the operatio</w:t>
                </w:r>
                <w:r>
                  <w:rPr>
                    <w:rFonts w:eastAsia="Times New Roman"/>
                    <w:sz w:val="24"/>
                    <w:szCs w:val="24"/>
                  </w:rPr>
                  <w:t>ns of the UAS</w:t>
                </w:r>
                <w:r w:rsidRPr="00F94726">
                  <w:rPr>
                    <w:rFonts w:eastAsia="Times New Roman"/>
                    <w:sz w:val="24"/>
                    <w:szCs w:val="24"/>
                  </w:rPr>
                  <w:t>.</w:t>
                </w:r>
              </w:p>
              <w:p w14:paraId="1F40C932"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Is not required to hold a remote pilot certification.</w:t>
                </w:r>
              </w:p>
              <w:p w14:paraId="13734D6C" w14:textId="77777777" w:rsidR="00BC0A2A" w:rsidRDefault="00BC0A2A" w:rsidP="00BC0A2A">
                <w:pPr>
                  <w:pStyle w:val="ListParagraph"/>
                  <w:numPr>
                    <w:ilvl w:val="1"/>
                    <w:numId w:val="4"/>
                  </w:numPr>
                  <w:spacing w:after="0"/>
                  <w:contextualSpacing w:val="0"/>
                  <w:rPr>
                    <w:rFonts w:eastAsia="Times New Roman"/>
                    <w:sz w:val="24"/>
                    <w:szCs w:val="24"/>
                  </w:rPr>
                </w:pPr>
                <w:r w:rsidRPr="00FC6AA4">
                  <w:rPr>
                    <w:rFonts w:eastAsia="Times New Roman"/>
                    <w:sz w:val="24"/>
                    <w:szCs w:val="24"/>
                  </w:rPr>
                  <w:t>May be the representative of an organization.</w:t>
                </w:r>
              </w:p>
              <w:p w14:paraId="496DDBEF" w14:textId="77777777" w:rsidR="00BC0A2A" w:rsidRDefault="00BC0A2A" w:rsidP="00BC0A2A">
                <w:pPr>
                  <w:pStyle w:val="ListParagraph"/>
                  <w:numPr>
                    <w:ilvl w:val="1"/>
                    <w:numId w:val="4"/>
                  </w:numPr>
                  <w:spacing w:after="240"/>
                  <w:contextualSpacing w:val="0"/>
                  <w:rPr>
                    <w:rFonts w:eastAsia="Times New Roman"/>
                    <w:sz w:val="24"/>
                    <w:szCs w:val="24"/>
                  </w:rPr>
                </w:pPr>
                <w:r w:rsidRPr="00FC6AA4">
                  <w:rPr>
                    <w:rFonts w:eastAsia="Times New Roman"/>
                    <w:sz w:val="24"/>
                    <w:szCs w:val="24"/>
                  </w:rPr>
                  <w:t xml:space="preserve">Is responsible for maintaining records or other information related to the UAS and flight operations in accordance with this Policy. </w:t>
                </w:r>
              </w:p>
              <w:p w14:paraId="169B4667" w14:textId="77777777" w:rsidR="00BC0A2A" w:rsidRPr="00FC6AA4" w:rsidRDefault="00BC0A2A" w:rsidP="00BC0A2A">
                <w:pPr>
                  <w:pStyle w:val="ListParagraph"/>
                  <w:numPr>
                    <w:ilvl w:val="0"/>
                    <w:numId w:val="4"/>
                  </w:numPr>
                  <w:spacing w:after="240"/>
                  <w:contextualSpacing w:val="0"/>
                  <w:rPr>
                    <w:rFonts w:eastAsia="Times New Roman"/>
                    <w:sz w:val="24"/>
                    <w:szCs w:val="24"/>
                  </w:rPr>
                </w:pPr>
                <w:r w:rsidRPr="00FC6AA4">
                  <w:rPr>
                    <w:rFonts w:eastAsia="Times New Roman"/>
                    <w:sz w:val="24"/>
                    <w:szCs w:val="24"/>
                  </w:rPr>
                  <w:t>Section 333 Exemption: FAA exemption based on Section 333 of the FAA Modernization and Reform Act of 2012 (FMRA) which grants the Secretary of Transportation the authority to determine whether an airworthiness certificate is required for a UAS to operate safely in the National Airspace System.</w:t>
                </w:r>
              </w:p>
              <w:p w14:paraId="5DE8AA71" w14:textId="77777777" w:rsidR="00BC0A2A" w:rsidRDefault="00BC0A2A" w:rsidP="00BC0A2A">
                <w:pPr>
                  <w:pStyle w:val="ListParagraph"/>
                  <w:numPr>
                    <w:ilvl w:val="0"/>
                    <w:numId w:val="4"/>
                  </w:numPr>
                  <w:spacing w:after="240"/>
                  <w:contextualSpacing w:val="0"/>
                  <w:rPr>
                    <w:rFonts w:eastAsia="Times New Roman"/>
                    <w:sz w:val="24"/>
                    <w:szCs w:val="24"/>
                  </w:rPr>
                </w:pPr>
                <w:r w:rsidRPr="00380312">
                  <w:rPr>
                    <w:rFonts w:eastAsia="Times New Roman"/>
                    <w:sz w:val="24"/>
                    <w:szCs w:val="24"/>
                  </w:rPr>
                  <w:t xml:space="preserve">“Small </w:t>
                </w:r>
                <w:r>
                  <w:rPr>
                    <w:rFonts w:eastAsia="Times New Roman"/>
                    <w:sz w:val="24"/>
                    <w:szCs w:val="24"/>
                  </w:rPr>
                  <w:t>U</w:t>
                </w:r>
                <w:r w:rsidRPr="00380312">
                  <w:rPr>
                    <w:rFonts w:eastAsia="Times New Roman"/>
                    <w:sz w:val="24"/>
                    <w:szCs w:val="24"/>
                  </w:rPr>
                  <w:t xml:space="preserve">nmanned </w:t>
                </w:r>
                <w:r>
                  <w:rPr>
                    <w:rFonts w:eastAsia="Times New Roman"/>
                    <w:sz w:val="24"/>
                    <w:szCs w:val="24"/>
                  </w:rPr>
                  <w:t>A</w:t>
                </w:r>
                <w:r w:rsidRPr="00380312">
                  <w:rPr>
                    <w:rFonts w:eastAsia="Times New Roman"/>
                    <w:sz w:val="24"/>
                    <w:szCs w:val="24"/>
                  </w:rPr>
                  <w:t xml:space="preserve">ircraft” </w:t>
                </w:r>
                <w:r>
                  <w:rPr>
                    <w:rFonts w:eastAsia="Times New Roman"/>
                    <w:sz w:val="24"/>
                    <w:szCs w:val="24"/>
                  </w:rPr>
                  <w:t xml:space="preserve">(sUAS) </w:t>
                </w:r>
                <w:r w:rsidRPr="00380312">
                  <w:rPr>
                    <w:rFonts w:eastAsia="Times New Roman"/>
                    <w:sz w:val="24"/>
                    <w:szCs w:val="24"/>
                  </w:rPr>
                  <w:t>is defined by the FAA as “an unmanned aircraft weighing less than 55 lbs.” pursuant to Section 331(6) of the FAA Modernization and Reform Act of 2012 (Pub. L. 112-95).</w:t>
                </w:r>
              </w:p>
              <w:p w14:paraId="41DFA6C3" w14:textId="77777777" w:rsidR="00BC0A2A" w:rsidRPr="00380312"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“Unmanned Aircraft” (UA) is defined by the FAA as “an aircraft that is operated without the possibility of direct human intervention from within or on the aircraft,” pursuant to Section 331(8) of the FAA Modernization and Reform Act of 2012 (Pub. L. 112-95).</w:t>
                </w:r>
              </w:p>
              <w:p w14:paraId="3C0D6E64" w14:textId="77777777"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 xml:space="preserve">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w:t>
                </w:r>
                <w:r w:rsidRPr="00E5330A">
                  <w:rPr>
                    <w:rFonts w:eastAsia="Times New Roman"/>
                    <w:sz w:val="24"/>
                    <w:szCs w:val="24"/>
                  </w:rPr>
                  <w:t>Section 331(</w:t>
                </w:r>
                <w:r>
                  <w:rPr>
                    <w:rFonts w:eastAsia="Times New Roman"/>
                    <w:sz w:val="24"/>
                    <w:szCs w:val="24"/>
                  </w:rPr>
                  <w:t>9</w:t>
                </w:r>
                <w:r w:rsidRPr="00E5330A">
                  <w:rPr>
                    <w:rFonts w:eastAsia="Times New Roman"/>
                    <w:sz w:val="24"/>
                    <w:szCs w:val="24"/>
                  </w:rPr>
                  <w:t>) of the FAA Modernization and Reform Act of 2012 (Pub. L. 112-95).</w:t>
                </w:r>
              </w:p>
              <w:p w14:paraId="6A50CD37" w14:textId="77777777" w:rsidR="00B6798D" w:rsidRDefault="00B6798D" w:rsidP="00C911D9"/>
            </w:tc>
          </w:sdtContent>
        </w:sdt>
        <w:tc>
          <w:tcPr>
            <w:tcW w:w="0" w:type="auto"/>
          </w:tcPr>
          <w:p w14:paraId="38DD9D7C" w14:textId="77777777" w:rsidR="00B6798D" w:rsidRDefault="00B6798D"/>
        </w:tc>
      </w:tr>
      <w:tr w:rsidR="00B6798D" w14:paraId="45EA3581" w14:textId="77777777" w:rsidTr="001B60D8">
        <w:trPr>
          <w:gridAfter w:val="1"/>
          <w:trHeight w:val="432"/>
        </w:trPr>
        <w:tc>
          <w:tcPr>
            <w:tcW w:w="485" w:type="dxa"/>
            <w:vAlign w:val="center"/>
          </w:tcPr>
          <w:p w14:paraId="02E03348" w14:textId="77777777" w:rsidR="00B6798D" w:rsidRDefault="00B6798D" w:rsidP="00C911D9"/>
        </w:tc>
        <w:tc>
          <w:tcPr>
            <w:tcW w:w="9019" w:type="dxa"/>
            <w:gridSpan w:val="3"/>
            <w:vAlign w:val="center"/>
          </w:tcPr>
          <w:p w14:paraId="6E1C11F7" w14:textId="77777777" w:rsidR="00B6798D" w:rsidRDefault="00B6798D" w:rsidP="00C911D9"/>
        </w:tc>
      </w:tr>
    </w:tbl>
    <w:p w14:paraId="451381AF" w14:textId="77777777" w:rsidR="002971DB" w:rsidRDefault="002971DB"/>
    <w:p w14:paraId="1862FF07" w14:textId="77777777" w:rsidR="004A56F5" w:rsidRDefault="004A56F5">
      <w:r>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8875"/>
      </w:tblGrid>
      <w:tr w:rsidR="00B6798D" w14:paraId="3E6DD536" w14:textId="77777777" w:rsidTr="00175F40">
        <w:trPr>
          <w:trHeight w:val="144"/>
        </w:trPr>
        <w:tc>
          <w:tcPr>
            <w:tcW w:w="485" w:type="dxa"/>
            <w:vAlign w:val="center"/>
          </w:tcPr>
          <w:p w14:paraId="28DE6AF6" w14:textId="77777777" w:rsidR="00B6798D" w:rsidRPr="001B60D8" w:rsidRDefault="001B60D8" w:rsidP="001B60D8">
            <w:pPr>
              <w:pStyle w:val="PolicyTitle"/>
            </w:pPr>
            <w:r w:rsidRPr="001B60D8">
              <w:lastRenderedPageBreak/>
              <w:t>II.</w:t>
            </w:r>
          </w:p>
        </w:tc>
        <w:tc>
          <w:tcPr>
            <w:tcW w:w="8875" w:type="dxa"/>
            <w:vAlign w:val="center"/>
          </w:tcPr>
          <w:p w14:paraId="77BA3AC7"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39300EF1" w14:textId="77777777" w:rsidTr="00175F40">
        <w:trPr>
          <w:trHeight w:val="432"/>
        </w:trPr>
        <w:tc>
          <w:tcPr>
            <w:tcW w:w="485" w:type="dxa"/>
            <w:vAlign w:val="center"/>
          </w:tcPr>
          <w:p w14:paraId="16994845" w14:textId="77777777" w:rsidR="00B6798D" w:rsidRDefault="00B6798D" w:rsidP="00C911D9"/>
        </w:tc>
        <w:sdt>
          <w:sdtPr>
            <w:rPr>
              <w:sz w:val="24"/>
              <w:szCs w:val="24"/>
            </w:rPr>
            <w:alias w:val="Policy"/>
            <w:tag w:val="Policy"/>
            <w:id w:val="-77218106"/>
            <w:placeholder>
              <w:docPart w:val="5728A92016C94C16ABF5BD67281BF484"/>
            </w:placeholder>
          </w:sdtPr>
          <w:sdtEndPr/>
          <w:sdtContent>
            <w:tc>
              <w:tcPr>
                <w:tcW w:w="8875" w:type="dxa"/>
                <w:vAlign w:val="center"/>
              </w:tcPr>
              <w:p w14:paraId="117635C4"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This policy applies to:</w:t>
                </w:r>
              </w:p>
              <w:p w14:paraId="7EF96A9A"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Florida State University employees, students, and departments/units operating UAS on FSU property or in any location as part of their University employment or as part of University activities;</w:t>
                </w:r>
              </w:p>
              <w:p w14:paraId="417BA44F"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 xml:space="preserve">The purchase of UAS with </w:t>
                </w:r>
                <w:r w:rsidR="007C03FA" w:rsidRPr="006738E0">
                  <w:rPr>
                    <w:rFonts w:eastAsia="Times New Roman"/>
                    <w:sz w:val="24"/>
                    <w:szCs w:val="24"/>
                  </w:rPr>
                  <w:t>U</w:t>
                </w:r>
                <w:r w:rsidRPr="006738E0">
                  <w:rPr>
                    <w:rFonts w:eastAsia="Times New Roman"/>
                    <w:sz w:val="24"/>
                    <w:szCs w:val="24"/>
                  </w:rPr>
                  <w:t>niversity funds or f</w:t>
                </w:r>
                <w:r w:rsidR="007C03FA" w:rsidRPr="006738E0">
                  <w:rPr>
                    <w:rFonts w:eastAsia="Times New Roman"/>
                    <w:sz w:val="24"/>
                    <w:szCs w:val="24"/>
                  </w:rPr>
                  <w:t>unds being disbursed through a U</w:t>
                </w:r>
                <w:r w:rsidRPr="006738E0">
                  <w:rPr>
                    <w:rFonts w:eastAsia="Times New Roman"/>
                    <w:sz w:val="24"/>
                    <w:szCs w:val="24"/>
                  </w:rPr>
                  <w:t xml:space="preserve">niversity account, grant, or FSU Research Foundation account; </w:t>
                </w:r>
                <w:r w:rsidR="002F4A20">
                  <w:rPr>
                    <w:rFonts w:eastAsia="Times New Roman"/>
                    <w:sz w:val="24"/>
                    <w:szCs w:val="24"/>
                  </w:rPr>
                  <w:t>and/</w:t>
                </w:r>
                <w:r w:rsidR="00F41A18" w:rsidRPr="006738E0">
                  <w:rPr>
                    <w:rFonts w:eastAsia="Times New Roman"/>
                    <w:sz w:val="24"/>
                    <w:szCs w:val="24"/>
                  </w:rPr>
                  <w:t>or</w:t>
                </w:r>
              </w:p>
              <w:p w14:paraId="3F5B4909"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The operation by any person of UAS on FSU property.</w:t>
                </w:r>
                <w:r w:rsidRPr="006738E0">
                  <w:rPr>
                    <w:rFonts w:eastAsia="Times New Roman"/>
                    <w:sz w:val="24"/>
                    <w:szCs w:val="24"/>
                  </w:rPr>
                  <w:br/>
                </w:r>
              </w:p>
              <w:p w14:paraId="2C0DAC0C"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All operations of UAS on University owned or managed property must comply with all local, state, and federal laws, including FAA regulations regarding the use of UAS.  The operator of the UAS is responsible to ensure compliance with all relevant laws and regulations in the operation of the UAS.</w:t>
                </w:r>
              </w:p>
              <w:p w14:paraId="238E10AB" w14:textId="3E962AF7" w:rsidR="00BC0A2A" w:rsidRPr="006738E0" w:rsidRDefault="00BC0A2A" w:rsidP="00F41A18">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Small Unmanned Aircraft System Registration: Effective February 19, 2016, Federal law requires aircraft registration, prior to the first flight, to help ensure operational safety—for the operator, others on the ground, and manned aircraft. UAS pose new security and privacy challenges and must be traceable in the event of an incident. It will also help enable the return of a UAS should it be lost. Therefore, all small UAS weighing more than 250 grams (0.55 lbs.) and less than 55 pounds (on takeoff, including everything that is on board or otherwise attached to the aircraft) must be registered with the FAA. </w:t>
                </w:r>
                <w:r w:rsidRPr="006738E0">
                  <w:rPr>
                    <w:rFonts w:eastAsia="Times New Roman"/>
                    <w:sz w:val="24"/>
                    <w:szCs w:val="24"/>
                  </w:rPr>
                  <w:br/>
                </w:r>
                <w:r w:rsidRPr="006738E0">
                  <w:rPr>
                    <w:rFonts w:eastAsia="Times New Roman"/>
                    <w:sz w:val="24"/>
                    <w:szCs w:val="24"/>
                  </w:rPr>
                  <w:br/>
                  <w:t>All employees, students, or units who use University</w:t>
                </w:r>
                <w:r w:rsidR="00F41A18" w:rsidRPr="006738E0">
                  <w:rPr>
                    <w:rFonts w:eastAsia="Times New Roman"/>
                    <w:sz w:val="24"/>
                    <w:szCs w:val="24"/>
                  </w:rPr>
                  <w:t>, grant,</w:t>
                </w:r>
                <w:r w:rsidRPr="006738E0">
                  <w:rPr>
                    <w:rFonts w:eastAsia="Times New Roman"/>
                    <w:sz w:val="24"/>
                    <w:szCs w:val="24"/>
                  </w:rPr>
                  <w:t xml:space="preserve"> or</w:t>
                </w:r>
                <w:r w:rsidR="007C03FA" w:rsidRPr="006738E0">
                  <w:rPr>
                    <w:rFonts w:eastAsia="Times New Roman"/>
                    <w:sz w:val="24"/>
                    <w:szCs w:val="24"/>
                  </w:rPr>
                  <w:t xml:space="preserve"> FSU Research Foundation funds </w:t>
                </w:r>
                <w:r w:rsidRPr="006738E0">
                  <w:rPr>
                    <w:rFonts w:eastAsia="Times New Roman"/>
                    <w:sz w:val="24"/>
                    <w:szCs w:val="24"/>
                  </w:rPr>
                  <w:t xml:space="preserve">to purchase or develop a UAS after the effective date of this policy, shall register that UAS with the FAA, in accordance with </w:t>
                </w:r>
                <w:hyperlink r:id="rId10" w:history="1">
                  <w:r w:rsidRPr="006738E0">
                    <w:rPr>
                      <w:rStyle w:val="Hyperlink"/>
                      <w:rFonts w:eastAsia="Times New Roman"/>
                      <w:sz w:val="24"/>
                      <w:szCs w:val="24"/>
                    </w:rPr>
                    <w:t>14 CFR Part 48</w:t>
                  </w:r>
                </w:hyperlink>
                <w:r w:rsidRPr="006738E0">
                  <w:rPr>
                    <w:rFonts w:eastAsia="Times New Roman"/>
                    <w:sz w:val="24"/>
                    <w:szCs w:val="24"/>
                  </w:rPr>
                  <w:t>.</w:t>
                </w:r>
                <w:r w:rsidR="00BA1237">
                  <w:rPr>
                    <w:rFonts w:eastAsia="Times New Roman"/>
                    <w:sz w:val="24"/>
                    <w:szCs w:val="24"/>
                  </w:rPr>
                  <w:t xml:space="preserve"> Any</w:t>
                </w:r>
                <w:r w:rsidRPr="006738E0">
                  <w:rPr>
                    <w:rFonts w:eastAsia="Times New Roman"/>
                    <w:sz w:val="24"/>
                    <w:szCs w:val="24"/>
                  </w:rPr>
                  <w:t xml:space="preserve"> </w:t>
                </w:r>
                <w:r w:rsidRPr="00CF79BD">
                  <w:rPr>
                    <w:rFonts w:eastAsia="Times New Roman"/>
                    <w:sz w:val="24"/>
                    <w:szCs w:val="24"/>
                  </w:rPr>
                  <w:t xml:space="preserve">UAS purchased or developed prior to the effective date of this policy shall likewise be registered if </w:t>
                </w:r>
                <w:r w:rsidR="007C03FA" w:rsidRPr="00BA1237">
                  <w:rPr>
                    <w:rFonts w:eastAsia="Times New Roman"/>
                    <w:sz w:val="24"/>
                    <w:szCs w:val="24"/>
                  </w:rPr>
                  <w:t>it has</w:t>
                </w:r>
                <w:r w:rsidR="00CF79BD">
                  <w:rPr>
                    <w:rFonts w:eastAsia="Times New Roman"/>
                    <w:sz w:val="24"/>
                    <w:szCs w:val="24"/>
                  </w:rPr>
                  <w:t xml:space="preserve"> </w:t>
                </w:r>
                <w:r w:rsidRPr="00CF79BD">
                  <w:rPr>
                    <w:rFonts w:eastAsia="Times New Roman"/>
                    <w:sz w:val="24"/>
                    <w:szCs w:val="24"/>
                  </w:rPr>
                  <w:t>not already been registered.</w:t>
                </w:r>
                <w:r w:rsidRPr="006738E0">
                  <w:rPr>
                    <w:rFonts w:eastAsia="Times New Roman"/>
                    <w:sz w:val="24"/>
                    <w:szCs w:val="24"/>
                  </w:rPr>
                  <w:t xml:space="preserve"> The FAA charges a minimal registration fee.</w:t>
                </w:r>
                <w:r w:rsidR="00F41A18" w:rsidRPr="006738E0">
                  <w:rPr>
                    <w:rFonts w:eastAsia="Times New Roman"/>
                    <w:sz w:val="24"/>
                    <w:szCs w:val="24"/>
                  </w:rPr>
                  <w:t xml:space="preserve"> </w:t>
                </w:r>
                <w:r w:rsidR="007C03FA" w:rsidRPr="006738E0">
                  <w:rPr>
                    <w:rFonts w:eastAsia="Times New Roman"/>
                    <w:sz w:val="24"/>
                    <w:szCs w:val="24"/>
                  </w:rPr>
                  <w:t xml:space="preserve">Registration Applications are submitted to the FAA through their registration portal at  </w:t>
                </w:r>
                <w:hyperlink r:id="rId11" w:history="1">
                  <w:r w:rsidR="007C03FA" w:rsidRPr="006738E0">
                    <w:rPr>
                      <w:rStyle w:val="Hyperlink"/>
                      <w:rFonts w:eastAsia="Times New Roman"/>
                      <w:sz w:val="24"/>
                      <w:szCs w:val="24"/>
                    </w:rPr>
                    <w:t>https://registermyuas.faa.gov/</w:t>
                  </w:r>
                </w:hyperlink>
                <w:r w:rsidR="007C03FA" w:rsidRPr="006738E0">
                  <w:rPr>
                    <w:rFonts w:eastAsia="Times New Roman"/>
                    <w:sz w:val="24"/>
                    <w:szCs w:val="24"/>
                  </w:rPr>
                  <w:t xml:space="preserve">. </w:t>
                </w:r>
                <w:r w:rsidRPr="006738E0">
                  <w:rPr>
                    <w:rFonts w:eastAsia="Times New Roman"/>
                    <w:b/>
                    <w:sz w:val="24"/>
                    <w:szCs w:val="24"/>
                  </w:rPr>
                  <w:t>All UASs purchased with University</w:t>
                </w:r>
                <w:r w:rsidR="00F41A18" w:rsidRPr="006738E0">
                  <w:rPr>
                    <w:rFonts w:eastAsia="Times New Roman"/>
                    <w:b/>
                    <w:sz w:val="24"/>
                    <w:szCs w:val="24"/>
                  </w:rPr>
                  <w:t xml:space="preserve"> funds or funds being disbursed through a </w:t>
                </w:r>
                <w:r w:rsidR="007C03FA" w:rsidRPr="006738E0">
                  <w:rPr>
                    <w:rFonts w:eastAsia="Times New Roman"/>
                    <w:b/>
                    <w:sz w:val="24"/>
                    <w:szCs w:val="24"/>
                  </w:rPr>
                  <w:t>U</w:t>
                </w:r>
                <w:r w:rsidR="00F41A18" w:rsidRPr="006738E0">
                  <w:rPr>
                    <w:rFonts w:eastAsia="Times New Roman"/>
                    <w:b/>
                    <w:sz w:val="24"/>
                    <w:szCs w:val="24"/>
                  </w:rPr>
                  <w:t>niversity account, grant, or FSU Research Foundation account</w:t>
                </w:r>
                <w:r w:rsidRPr="006738E0">
                  <w:rPr>
                    <w:rFonts w:eastAsia="Times New Roman"/>
                    <w:b/>
                    <w:sz w:val="24"/>
                    <w:szCs w:val="24"/>
                  </w:rPr>
                  <w:t xml:space="preserve"> must be registered to:</w:t>
                </w:r>
                <w:r w:rsidRPr="006738E0">
                  <w:rPr>
                    <w:rFonts w:eastAsia="Times New Roman"/>
                    <w:b/>
                    <w:sz w:val="24"/>
                    <w:szCs w:val="24"/>
                  </w:rPr>
                  <w:br/>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Registrant: </w:t>
                </w:r>
                <w:r w:rsidRPr="006738E0">
                  <w:rPr>
                    <w:rFonts w:eastAsia="Times New Roman"/>
                    <w:b/>
                    <w:sz w:val="24"/>
                    <w:szCs w:val="24"/>
                    <w:u w:val="single"/>
                  </w:rPr>
                  <w:t>Florida State University</w:t>
                </w:r>
                <w:r w:rsidRPr="006738E0">
                  <w:rPr>
                    <w:rFonts w:eastAsia="Times New Roman"/>
                    <w:b/>
                    <w:sz w:val="24"/>
                    <w:szCs w:val="24"/>
                  </w:rPr>
                  <w:t xml:space="preserve"> </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Address: Westcott North Annex, Tallahassee, FL 32306-1330</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Email: </w:t>
                </w:r>
                <w:hyperlink r:id="rId12" w:history="1">
                  <w:r w:rsidR="00624EFF" w:rsidRPr="00426B21">
                    <w:rPr>
                      <w:rStyle w:val="Hyperlink"/>
                      <w:rFonts w:eastAsia="Times New Roman"/>
                      <w:sz w:val="24"/>
                      <w:szCs w:val="24"/>
                    </w:rPr>
                    <w:t>rsch-compliance@fsu.edu</w:t>
                  </w:r>
                </w:hyperlink>
              </w:p>
              <w:p w14:paraId="1C222E77" w14:textId="235FC2DF" w:rsidR="00BC0A2A" w:rsidRPr="006738E0" w:rsidRDefault="007C03FA" w:rsidP="00BC0A2A">
                <w:pPr>
                  <w:spacing w:after="240"/>
                  <w:ind w:left="720"/>
                  <w:rPr>
                    <w:rFonts w:eastAsia="Times New Roman"/>
                    <w:sz w:val="24"/>
                    <w:szCs w:val="24"/>
                  </w:rPr>
                </w:pPr>
                <w:r w:rsidRPr="006738E0">
                  <w:rPr>
                    <w:rFonts w:eastAsia="Times New Roman"/>
                    <w:sz w:val="24"/>
                    <w:szCs w:val="24"/>
                  </w:rPr>
                  <w:t>After the registration application is submitted, a</w:t>
                </w:r>
                <w:r w:rsidR="00BC0A2A" w:rsidRPr="006738E0">
                  <w:rPr>
                    <w:rFonts w:eastAsia="Times New Roman"/>
                    <w:sz w:val="24"/>
                    <w:szCs w:val="24"/>
                  </w:rPr>
                  <w:t xml:space="preserve"> copy must be emailed to ORCP at </w:t>
                </w:r>
                <w:hyperlink r:id="rId13" w:history="1">
                  <w:r w:rsidR="00624EFF">
                    <w:rPr>
                      <w:rStyle w:val="Hyperlink"/>
                      <w:rFonts w:eastAsia="Times New Roman"/>
                      <w:sz w:val="24"/>
                      <w:szCs w:val="24"/>
                    </w:rPr>
                    <w:t>rsch-compliance</w:t>
                  </w:r>
                  <w:r w:rsidR="00624EFF" w:rsidRPr="00624EFF">
                    <w:rPr>
                      <w:rStyle w:val="Hyperlink"/>
                      <w:rFonts w:eastAsia="Times New Roman"/>
                      <w:sz w:val="24"/>
                      <w:szCs w:val="24"/>
                    </w:rPr>
                    <w:t>@fsu.edu</w:t>
                  </w:r>
                </w:hyperlink>
                <w:r w:rsidR="00BC0A2A" w:rsidRPr="006738E0">
                  <w:rPr>
                    <w:rFonts w:eastAsia="Times New Roman"/>
                    <w:sz w:val="24"/>
                    <w:szCs w:val="24"/>
                  </w:rPr>
                  <w:t xml:space="preserve"> by the person submitting the Application. After </w:t>
                </w:r>
                <w:r w:rsidRPr="006738E0">
                  <w:rPr>
                    <w:rFonts w:eastAsia="Times New Roman"/>
                    <w:sz w:val="24"/>
                    <w:szCs w:val="24"/>
                  </w:rPr>
                  <w:t>ORCP receives the Certificate of Aircraft Registration from</w:t>
                </w:r>
                <w:r w:rsidR="00BC0A2A" w:rsidRPr="006738E0">
                  <w:rPr>
                    <w:rFonts w:eastAsia="Times New Roman"/>
                    <w:sz w:val="24"/>
                    <w:szCs w:val="24"/>
                  </w:rPr>
                  <w:t xml:space="preserve"> the FAA, ORCP will send</w:t>
                </w:r>
                <w:r w:rsidRPr="006738E0">
                  <w:rPr>
                    <w:rFonts w:eastAsia="Times New Roman"/>
                    <w:sz w:val="24"/>
                    <w:szCs w:val="24"/>
                  </w:rPr>
                  <w:t xml:space="preserve"> a </w:t>
                </w:r>
                <w:r w:rsidRPr="006738E0">
                  <w:rPr>
                    <w:rFonts w:eastAsia="Times New Roman"/>
                    <w:sz w:val="24"/>
                    <w:szCs w:val="24"/>
                  </w:rPr>
                  <w:lastRenderedPageBreak/>
                  <w:t>copy</w:t>
                </w:r>
                <w:r w:rsidR="00BC0A2A" w:rsidRPr="006738E0">
                  <w:rPr>
                    <w:rFonts w:eastAsia="Times New Roman"/>
                    <w:sz w:val="24"/>
                    <w:szCs w:val="24"/>
                  </w:rPr>
                  <w:t xml:space="preserve"> the submitter </w:t>
                </w:r>
                <w:r w:rsidRPr="006738E0">
                  <w:rPr>
                    <w:rFonts w:eastAsia="Times New Roman"/>
                    <w:sz w:val="24"/>
                    <w:szCs w:val="24"/>
                  </w:rPr>
                  <w:t>for their records.</w:t>
                </w:r>
                <w:r w:rsidR="00BC0A2A" w:rsidRPr="006738E0">
                  <w:rPr>
                    <w:rFonts w:eastAsia="Times New Roman"/>
                    <w:sz w:val="24"/>
                    <w:szCs w:val="24"/>
                  </w:rPr>
                  <w:t xml:space="preserve"> </w:t>
                </w:r>
                <w:r w:rsidR="00BC0A2A" w:rsidRPr="006738E0">
                  <w:rPr>
                    <w:rFonts w:eastAsia="Times New Roman"/>
                    <w:sz w:val="24"/>
                    <w:szCs w:val="24"/>
                  </w:rPr>
                  <w:br/>
                </w:r>
                <w:r w:rsidR="00BC0A2A" w:rsidRPr="006738E0">
                  <w:rPr>
                    <w:rFonts w:eastAsia="Times New Roman"/>
                    <w:sz w:val="24"/>
                    <w:szCs w:val="24"/>
                  </w:rPr>
                  <w:br/>
                  <w:t>The registration number must be marked on the UAS by some means that is legible and allows the number to be readily seen. During UAS operation, the operator must be able to present the certificate in either print or electronic format if asked for proof of registration. This registration must be renewed every three (3) years.</w:t>
                </w:r>
              </w:p>
              <w:p w14:paraId="665D4380"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Specific authorization to operate a UAS, including small unmanned aircraft and model aircraft, must be granted by Florida State University’s Assistant Vice President for </w:t>
                </w:r>
                <w:r w:rsidR="004A56F5" w:rsidRPr="006738E0">
                  <w:rPr>
                    <w:rFonts w:eastAsia="Times New Roman"/>
                    <w:sz w:val="24"/>
                    <w:szCs w:val="24"/>
                  </w:rPr>
                  <w:t xml:space="preserve">Public </w:t>
                </w:r>
                <w:r w:rsidRPr="006738E0">
                  <w:rPr>
                    <w:rFonts w:eastAsia="Times New Roman"/>
                    <w:sz w:val="24"/>
                    <w:szCs w:val="24"/>
                  </w:rPr>
                  <w:t xml:space="preserve">Safety before any of the following operations are permitted.  </w:t>
                </w:r>
              </w:p>
              <w:p w14:paraId="22F36F27"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Flight operations that are launched from any University owned or managed property, regardless of UAS ownership.</w:t>
                </w:r>
              </w:p>
              <w:p w14:paraId="6FFBE2FD" w14:textId="77777777" w:rsidR="00BC0A2A" w:rsidRPr="006738E0" w:rsidRDefault="00BC0A2A" w:rsidP="00BC0A2A">
                <w:pPr>
                  <w:pStyle w:val="ListParagraph"/>
                  <w:numPr>
                    <w:ilvl w:val="1"/>
                    <w:numId w:val="6"/>
                  </w:numPr>
                  <w:spacing w:after="240"/>
                  <w:contextualSpacing w:val="0"/>
                  <w:rPr>
                    <w:rFonts w:eastAsia="Times New Roman"/>
                    <w:sz w:val="24"/>
                    <w:szCs w:val="24"/>
                  </w:rPr>
                </w:pPr>
                <w:r w:rsidRPr="006738E0">
                  <w:rPr>
                    <w:rFonts w:eastAsia="Times New Roman"/>
                    <w:sz w:val="24"/>
                    <w:szCs w:val="24"/>
                  </w:rPr>
                  <w:t>Flight operations that are launched from or fly over any property other than University-owned or managed, if the UAS is owned by FSU.</w:t>
                </w:r>
              </w:p>
              <w:p w14:paraId="2D3FEA1D" w14:textId="6314C9AD" w:rsidR="00BC0A2A" w:rsidRPr="006738E0" w:rsidRDefault="00873383" w:rsidP="00BC0A2A">
                <w:pPr>
                  <w:spacing w:after="240"/>
                  <w:ind w:left="720"/>
                  <w:rPr>
                    <w:rFonts w:eastAsia="Times New Roman"/>
                    <w:sz w:val="24"/>
                    <w:szCs w:val="24"/>
                  </w:rPr>
                </w:pPr>
                <w:r w:rsidRPr="006738E0">
                  <w:rPr>
                    <w:rFonts w:eastAsia="Times New Roman"/>
                    <w:sz w:val="24"/>
                    <w:szCs w:val="24"/>
                  </w:rPr>
                  <w:t xml:space="preserve">Procedures for requesting approval for flight operations are located at </w:t>
                </w:r>
                <w:hyperlink r:id="rId14" w:history="1">
                  <w:r w:rsidR="00624EFF" w:rsidRPr="00426B21">
                    <w:rPr>
                      <w:rStyle w:val="Hyperlink"/>
                      <w:rFonts w:eastAsia="Times New Roman"/>
                      <w:sz w:val="24"/>
                      <w:szCs w:val="24"/>
                    </w:rPr>
                    <w:t>drones.fsu.edu</w:t>
                  </w:r>
                </w:hyperlink>
                <w:r w:rsidR="00624EFF">
                  <w:rPr>
                    <w:rFonts w:eastAsia="Times New Roman"/>
                    <w:sz w:val="24"/>
                    <w:szCs w:val="24"/>
                  </w:rPr>
                  <w:t>.</w:t>
                </w:r>
                <w:r w:rsidRPr="006738E0">
                  <w:rPr>
                    <w:rFonts w:eastAsia="Times New Roman"/>
                    <w:sz w:val="24"/>
                    <w:szCs w:val="24"/>
                  </w:rPr>
                  <w:t xml:space="preserve"> </w:t>
                </w:r>
                <w:r w:rsidR="00BC0A2A" w:rsidRPr="006738E0">
                  <w:rPr>
                    <w:rFonts w:eastAsia="Times New Roman"/>
                    <w:sz w:val="24"/>
                    <w:szCs w:val="24"/>
                  </w:rPr>
                  <w:t xml:space="preserve">Proposed changes or deviations from approved flights must be approved </w:t>
                </w:r>
                <w:r w:rsidR="00936BCA" w:rsidRPr="00BA1237">
                  <w:rPr>
                    <w:rFonts w:eastAsia="Times New Roman"/>
                    <w:sz w:val="24"/>
                    <w:szCs w:val="24"/>
                  </w:rPr>
                  <w:t>by</w:t>
                </w:r>
                <w:r w:rsidR="00936BCA">
                  <w:rPr>
                    <w:rFonts w:eastAsia="Times New Roman"/>
                    <w:sz w:val="24"/>
                    <w:szCs w:val="24"/>
                  </w:rPr>
                  <w:t xml:space="preserve"> </w:t>
                </w:r>
                <w:r w:rsidR="00BC0A2A" w:rsidRPr="006738E0">
                  <w:rPr>
                    <w:rFonts w:eastAsia="Times New Roman"/>
                    <w:sz w:val="24"/>
                    <w:szCs w:val="24"/>
                  </w:rPr>
                  <w:t xml:space="preserve">FSU’s Assistant Vice President for </w:t>
                </w:r>
                <w:r w:rsidR="004A56F5" w:rsidRPr="006738E0">
                  <w:rPr>
                    <w:rFonts w:eastAsia="Times New Roman"/>
                    <w:sz w:val="24"/>
                    <w:szCs w:val="24"/>
                  </w:rPr>
                  <w:t xml:space="preserve">Public </w:t>
                </w:r>
                <w:r w:rsidR="00BC0A2A" w:rsidRPr="006738E0">
                  <w:rPr>
                    <w:rFonts w:eastAsia="Times New Roman"/>
                    <w:sz w:val="24"/>
                    <w:szCs w:val="24"/>
                  </w:rPr>
                  <w:t>Safety.</w:t>
                </w:r>
                <w:r w:rsidR="005F5BD0" w:rsidRPr="006738E0">
                  <w:rPr>
                    <w:rFonts w:eastAsia="Times New Roman"/>
                    <w:sz w:val="24"/>
                    <w:szCs w:val="24"/>
                  </w:rPr>
                  <w:t xml:space="preserve"> </w:t>
                </w:r>
                <w:r w:rsidRPr="006738E0">
                  <w:rPr>
                    <w:rFonts w:eastAsia="Times New Roman"/>
                    <w:sz w:val="24"/>
                    <w:szCs w:val="24"/>
                  </w:rPr>
                  <w:t xml:space="preserve">The Assistant Vice President for Public Safety’s approval may be rescinded </w:t>
                </w:r>
                <w:r w:rsidR="00BC0A2A" w:rsidRPr="006738E0">
                  <w:rPr>
                    <w:rFonts w:eastAsia="Times New Roman"/>
                    <w:sz w:val="24"/>
                    <w:szCs w:val="24"/>
                  </w:rPr>
                  <w:t xml:space="preserve">if </w:t>
                </w:r>
                <w:r w:rsidRPr="006738E0">
                  <w:rPr>
                    <w:rFonts w:eastAsia="Times New Roman"/>
                    <w:sz w:val="24"/>
                    <w:szCs w:val="24"/>
                  </w:rPr>
                  <w:t xml:space="preserve">he or she </w:t>
                </w:r>
                <w:r w:rsidR="00BC0A2A" w:rsidRPr="006738E0">
                  <w:rPr>
                    <w:rFonts w:eastAsia="Times New Roman"/>
                    <w:sz w:val="24"/>
                    <w:szCs w:val="24"/>
                  </w:rPr>
                  <w:t>determine</w:t>
                </w:r>
                <w:r w:rsidRPr="006738E0">
                  <w:rPr>
                    <w:rFonts w:eastAsia="Times New Roman"/>
                    <w:sz w:val="24"/>
                    <w:szCs w:val="24"/>
                  </w:rPr>
                  <w:t>s</w:t>
                </w:r>
                <w:r w:rsidR="00BC0A2A" w:rsidRPr="006738E0">
                  <w:rPr>
                    <w:rFonts w:eastAsia="Times New Roman"/>
                    <w:sz w:val="24"/>
                    <w:szCs w:val="24"/>
                  </w:rPr>
                  <w:t xml:space="preserve"> that the information provided is incorrect, incomplete</w:t>
                </w:r>
                <w:r w:rsidRPr="006738E0">
                  <w:rPr>
                    <w:rFonts w:eastAsia="Times New Roman"/>
                    <w:sz w:val="24"/>
                    <w:szCs w:val="24"/>
                  </w:rPr>
                  <w:t>;</w:t>
                </w:r>
                <w:r w:rsidR="00BC0A2A" w:rsidRPr="006738E0">
                  <w:rPr>
                    <w:rFonts w:eastAsia="Times New Roman"/>
                    <w:sz w:val="24"/>
                    <w:szCs w:val="24"/>
                  </w:rPr>
                  <w:t xml:space="preserve"> or if circumstances have changed</w:t>
                </w:r>
                <w:r w:rsidRPr="006738E0">
                  <w:rPr>
                    <w:rFonts w:eastAsia="Times New Roman"/>
                    <w:sz w:val="24"/>
                    <w:szCs w:val="24"/>
                  </w:rPr>
                  <w:t>,</w:t>
                </w:r>
                <w:r w:rsidR="00BC0A2A" w:rsidRPr="006738E0">
                  <w:rPr>
                    <w:rFonts w:eastAsia="Times New Roman"/>
                    <w:sz w:val="24"/>
                    <w:szCs w:val="24"/>
                  </w:rPr>
                  <w:t xml:space="preserve"> and </w:t>
                </w:r>
                <w:r w:rsidRPr="006738E0">
                  <w:rPr>
                    <w:rFonts w:eastAsia="Times New Roman"/>
                    <w:sz w:val="24"/>
                    <w:szCs w:val="24"/>
                  </w:rPr>
                  <w:t xml:space="preserve">he or she </w:t>
                </w:r>
                <w:r w:rsidR="00BC0A2A" w:rsidRPr="006738E0">
                  <w:rPr>
                    <w:rFonts w:eastAsia="Times New Roman"/>
                    <w:sz w:val="24"/>
                    <w:szCs w:val="24"/>
                  </w:rPr>
                  <w:t>determin</w:t>
                </w:r>
                <w:r w:rsidRPr="006738E0">
                  <w:rPr>
                    <w:rFonts w:eastAsia="Times New Roman"/>
                    <w:sz w:val="24"/>
                    <w:szCs w:val="24"/>
                  </w:rPr>
                  <w:t>es</w:t>
                </w:r>
                <w:r w:rsidR="00BC0A2A" w:rsidRPr="006738E0">
                  <w:rPr>
                    <w:rFonts w:eastAsia="Times New Roman"/>
                    <w:sz w:val="24"/>
                    <w:szCs w:val="24"/>
                  </w:rPr>
                  <w:t xml:space="preserve"> that the planned operation is not in the best interest of the University.</w:t>
                </w:r>
              </w:p>
              <w:p w14:paraId="08052B16"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Any University employee or student wishing to operate a UAS as part of their University employment or as part of any University program must:</w:t>
                </w:r>
              </w:p>
              <w:p w14:paraId="4952A895"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87265C">
                  <w:rPr>
                    <w:rFonts w:eastAsia="Times New Roman"/>
                    <w:b/>
                    <w:sz w:val="24"/>
                    <w:szCs w:val="24"/>
                  </w:rPr>
                  <w:t>Commercial</w:t>
                </w:r>
                <w:r w:rsidRPr="006738E0">
                  <w:rPr>
                    <w:rFonts w:eastAsia="Times New Roman"/>
                    <w:sz w:val="24"/>
                    <w:szCs w:val="24"/>
                  </w:rPr>
                  <w:t>: Meet all applicable requirements of Part 107 of the Federal Aviation Regulation for commercial, non-governmental flights.</w:t>
                </w:r>
              </w:p>
              <w:p w14:paraId="031A41D0"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87265C">
                  <w:rPr>
                    <w:rFonts w:eastAsia="Times New Roman"/>
                    <w:b/>
                    <w:sz w:val="24"/>
                    <w:szCs w:val="24"/>
                  </w:rPr>
                  <w:t>Public/Governmental</w:t>
                </w:r>
                <w:r w:rsidRPr="006738E0">
                  <w:rPr>
                    <w:rFonts w:eastAsia="Times New Roman"/>
                    <w:sz w:val="24"/>
                    <w:szCs w:val="24"/>
                  </w:rPr>
                  <w:t xml:space="preserve">: Provide evidence from FSU’s COA Coordinator that </w:t>
                </w:r>
                <w:r w:rsidR="00936BCA" w:rsidRPr="00BA1237">
                  <w:rPr>
                    <w:rFonts w:eastAsia="Times New Roman"/>
                    <w:sz w:val="24"/>
                    <w:szCs w:val="24"/>
                  </w:rPr>
                  <w:t>the</w:t>
                </w:r>
                <w:r w:rsidR="00936BCA">
                  <w:rPr>
                    <w:rFonts w:eastAsia="Times New Roman"/>
                    <w:sz w:val="24"/>
                    <w:szCs w:val="24"/>
                  </w:rPr>
                  <w:t xml:space="preserve"> </w:t>
                </w:r>
                <w:r w:rsidRPr="006738E0">
                  <w:rPr>
                    <w:rFonts w:eastAsia="Times New Roman"/>
                    <w:sz w:val="24"/>
                    <w:szCs w:val="24"/>
                  </w:rPr>
                  <w:t>proposed flight or program has been approved and is operating under the FSU’s</w:t>
                </w:r>
                <w:r w:rsidR="00175F40" w:rsidRPr="006738E0">
                  <w:rPr>
                    <w:rFonts w:eastAsia="Times New Roman"/>
                    <w:sz w:val="24"/>
                    <w:szCs w:val="24"/>
                  </w:rPr>
                  <w:t xml:space="preserve"> Public</w:t>
                </w:r>
                <w:r w:rsidRPr="006738E0">
                  <w:rPr>
                    <w:rFonts w:eastAsia="Times New Roman"/>
                    <w:sz w:val="24"/>
                    <w:szCs w:val="24"/>
                  </w:rPr>
                  <w:t xml:space="preserve"> COA.</w:t>
                </w:r>
                <w:r w:rsidRPr="006738E0">
                  <w:rPr>
                    <w:sz w:val="24"/>
                    <w:szCs w:val="24"/>
                  </w:rPr>
                  <w:t xml:space="preserve"> </w:t>
                </w:r>
                <w:r w:rsidRPr="006738E0">
                  <w:rPr>
                    <w:rFonts w:eastAsia="Times New Roman"/>
                    <w:sz w:val="24"/>
                    <w:szCs w:val="24"/>
                  </w:rPr>
                  <w:t xml:space="preserve">This shall be in addition to receiving permission from the Assistant Vice President for </w:t>
                </w:r>
                <w:r w:rsidR="004A56F5" w:rsidRPr="006738E0">
                  <w:rPr>
                    <w:rFonts w:eastAsia="Times New Roman"/>
                    <w:sz w:val="24"/>
                    <w:szCs w:val="24"/>
                  </w:rPr>
                  <w:t xml:space="preserve">Public </w:t>
                </w:r>
                <w:r w:rsidRPr="006738E0">
                  <w:rPr>
                    <w:rFonts w:eastAsia="Times New Roman"/>
                    <w:sz w:val="24"/>
                    <w:szCs w:val="24"/>
                  </w:rPr>
                  <w:t>Safety.</w:t>
                </w:r>
              </w:p>
              <w:p w14:paraId="215B6856" w14:textId="343C18E6" w:rsidR="00BC0A2A" w:rsidRPr="006738E0" w:rsidRDefault="00BC0A2A" w:rsidP="00BC0A2A">
                <w:pPr>
                  <w:pStyle w:val="ListParagraph"/>
                  <w:numPr>
                    <w:ilvl w:val="1"/>
                    <w:numId w:val="6"/>
                  </w:numPr>
                  <w:spacing w:after="240"/>
                  <w:contextualSpacing w:val="0"/>
                  <w:rPr>
                    <w:rFonts w:eastAsia="Times New Roman"/>
                    <w:sz w:val="24"/>
                    <w:szCs w:val="24"/>
                    <w:u w:val="single"/>
                  </w:rPr>
                </w:pPr>
                <w:r w:rsidRPr="0087265C">
                  <w:rPr>
                    <w:rFonts w:eastAsia="Times New Roman"/>
                    <w:b/>
                    <w:sz w:val="24"/>
                    <w:szCs w:val="24"/>
                  </w:rPr>
                  <w:t>Hobbyist</w:t>
                </w:r>
                <w:r w:rsidRPr="006738E0">
                  <w:rPr>
                    <w:rFonts w:eastAsia="Times New Roman"/>
                    <w:sz w:val="24"/>
                    <w:szCs w:val="24"/>
                  </w:rPr>
                  <w:t xml:space="preserve">: </w:t>
                </w:r>
                <w:r w:rsidRPr="006738E0">
                  <w:rPr>
                    <w:sz w:val="24"/>
                    <w:szCs w:val="24"/>
                  </w:rPr>
                  <w:t>Student</w:t>
                </w:r>
                <w:r w:rsidR="00936BCA" w:rsidRPr="000B57B5">
                  <w:rPr>
                    <w:sz w:val="24"/>
                    <w:szCs w:val="24"/>
                  </w:rPr>
                  <w:t>s</w:t>
                </w:r>
                <w:r w:rsidR="005F5BD0" w:rsidRPr="006738E0">
                  <w:rPr>
                    <w:sz w:val="24"/>
                    <w:szCs w:val="24"/>
                  </w:rPr>
                  <w:t xml:space="preserve"> who fly for fun or</w:t>
                </w:r>
                <w:r w:rsidRPr="006738E0">
                  <w:rPr>
                    <w:sz w:val="24"/>
                    <w:szCs w:val="24"/>
                  </w:rPr>
                  <w:t xml:space="preserve"> use drones at accredited educational institutions as a component of their science, technology and aviation-related educational curricula, or other coursework such as television and film production or the arts, </w:t>
                </w:r>
                <w:r w:rsidR="00936BCA" w:rsidRPr="000B57B5">
                  <w:rPr>
                    <w:sz w:val="24"/>
                    <w:szCs w:val="24"/>
                  </w:rPr>
                  <w:t>are engaging in</w:t>
                </w:r>
                <w:r w:rsidR="00936BCA">
                  <w:rPr>
                    <w:sz w:val="24"/>
                    <w:szCs w:val="24"/>
                  </w:rPr>
                  <w:t xml:space="preserve"> “</w:t>
                </w:r>
                <w:r w:rsidRPr="006738E0">
                  <w:rPr>
                    <w:sz w:val="24"/>
                    <w:szCs w:val="24"/>
                  </w:rPr>
                  <w:t>hobby or recreational use” and can therefore operate</w:t>
                </w:r>
                <w:r w:rsidR="00BA1237">
                  <w:rPr>
                    <w:sz w:val="24"/>
                    <w:szCs w:val="24"/>
                  </w:rPr>
                  <w:t xml:space="preserve"> </w:t>
                </w:r>
                <w:r w:rsidRPr="006738E0">
                  <w:rPr>
                    <w:sz w:val="24"/>
                    <w:szCs w:val="24"/>
                  </w:rPr>
                  <w:t>as model aircraft</w:t>
                </w:r>
                <w:r w:rsidR="00175F40" w:rsidRPr="006738E0">
                  <w:rPr>
                    <w:sz w:val="24"/>
                    <w:szCs w:val="24"/>
                  </w:rPr>
                  <w:t xml:space="preserve"> (e.g., as a hobbyist)</w:t>
                </w:r>
                <w:r w:rsidRPr="006738E0">
                  <w:rPr>
                    <w:sz w:val="24"/>
                    <w:szCs w:val="24"/>
                  </w:rPr>
                  <w:t>.</w:t>
                </w:r>
              </w:p>
              <w:p w14:paraId="4ABE5F52" w14:textId="782D0CC9"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FAA regulations require that operators operating a UAS within a </w:t>
                </w:r>
                <w:r w:rsidR="00C30522" w:rsidRPr="006738E0">
                  <w:rPr>
                    <w:rFonts w:eastAsia="Times New Roman"/>
                    <w:sz w:val="24"/>
                    <w:szCs w:val="24"/>
                  </w:rPr>
                  <w:t>5-mile</w:t>
                </w:r>
                <w:r w:rsidRPr="006738E0">
                  <w:rPr>
                    <w:rFonts w:eastAsia="Times New Roman"/>
                    <w:sz w:val="24"/>
                    <w:szCs w:val="24"/>
                  </w:rPr>
                  <w:t xml:space="preserve"> radius of Tallahassee International Airport must give specific notice prior the use of UAS to the airport operator or controller.  The University’s </w:t>
                </w:r>
                <w:r w:rsidR="005F5BD0" w:rsidRPr="006738E0">
                  <w:rPr>
                    <w:rFonts w:eastAsia="Times New Roman"/>
                    <w:sz w:val="24"/>
                    <w:szCs w:val="24"/>
                  </w:rPr>
                  <w:t>M</w:t>
                </w:r>
                <w:r w:rsidRPr="006738E0">
                  <w:rPr>
                    <w:rFonts w:eastAsia="Times New Roman"/>
                    <w:sz w:val="24"/>
                    <w:szCs w:val="24"/>
                  </w:rPr>
                  <w:t xml:space="preserve">ain </w:t>
                </w:r>
                <w:r w:rsidR="005F5BD0" w:rsidRPr="006738E0">
                  <w:rPr>
                    <w:rFonts w:eastAsia="Times New Roman"/>
                    <w:sz w:val="24"/>
                    <w:szCs w:val="24"/>
                  </w:rPr>
                  <w:t>C</w:t>
                </w:r>
                <w:r w:rsidRPr="006738E0">
                  <w:rPr>
                    <w:rFonts w:eastAsia="Times New Roman"/>
                    <w:sz w:val="24"/>
                    <w:szCs w:val="24"/>
                  </w:rPr>
                  <w:t>ampus</w:t>
                </w:r>
                <w:r w:rsidR="005F5BD0" w:rsidRPr="006738E0">
                  <w:rPr>
                    <w:rFonts w:eastAsia="Times New Roman"/>
                    <w:sz w:val="24"/>
                    <w:szCs w:val="24"/>
                  </w:rPr>
                  <w:t xml:space="preserve"> and Southwest Campus are</w:t>
                </w:r>
                <w:r w:rsidRPr="006738E0">
                  <w:rPr>
                    <w:rFonts w:eastAsia="Times New Roman"/>
                    <w:sz w:val="24"/>
                    <w:szCs w:val="24"/>
                  </w:rPr>
                  <w:t xml:space="preserve"> within a </w:t>
                </w:r>
                <w:r w:rsidR="001F3743" w:rsidRPr="006738E0">
                  <w:rPr>
                    <w:rFonts w:eastAsia="Times New Roman"/>
                    <w:sz w:val="24"/>
                    <w:szCs w:val="24"/>
                  </w:rPr>
                  <w:t>5-</w:t>
                </w:r>
                <w:r w:rsidRPr="006738E0">
                  <w:rPr>
                    <w:rFonts w:eastAsia="Times New Roman"/>
                    <w:sz w:val="24"/>
                    <w:szCs w:val="24"/>
                  </w:rPr>
                  <w:t>mile radius of the airport.</w:t>
                </w:r>
                <w:r w:rsidR="00437F05">
                  <w:rPr>
                    <w:rFonts w:eastAsia="Times New Roman"/>
                    <w:sz w:val="24"/>
                    <w:szCs w:val="24"/>
                  </w:rPr>
                  <w:br/>
                </w:r>
              </w:p>
              <w:p w14:paraId="045BA07D" w14:textId="77777777" w:rsidR="00BC0A2A" w:rsidRPr="006738E0" w:rsidRDefault="00BC0A2A" w:rsidP="0087265C">
                <w:pPr>
                  <w:pStyle w:val="ListParagraph"/>
                  <w:numPr>
                    <w:ilvl w:val="0"/>
                    <w:numId w:val="6"/>
                  </w:numPr>
                  <w:spacing w:after="0"/>
                  <w:contextualSpacing w:val="0"/>
                  <w:rPr>
                    <w:rFonts w:eastAsia="Times New Roman"/>
                    <w:sz w:val="24"/>
                    <w:szCs w:val="24"/>
                  </w:rPr>
                </w:pPr>
                <w:r w:rsidRPr="006738E0">
                  <w:rPr>
                    <w:rFonts w:eastAsia="Times New Roman"/>
                    <w:sz w:val="24"/>
                    <w:szCs w:val="24"/>
                  </w:rPr>
                  <w:lastRenderedPageBreak/>
                  <w:t>Any model aircraft operated on University property:</w:t>
                </w:r>
              </w:p>
              <w:p w14:paraId="4A288AC4"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exceed an altitude of 400 feet, </w:t>
                </w:r>
              </w:p>
              <w:p w14:paraId="10605341"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be flown outside of the visual observation of the pilot; </w:t>
                </w:r>
              </w:p>
              <w:p w14:paraId="5A66941E"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fly near people; </w:t>
                </w:r>
              </w:p>
              <w:p w14:paraId="2C4D22E2"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fly in a careless or reckless manner; </w:t>
                </w:r>
              </w:p>
              <w:p w14:paraId="264005BB"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interfere with manned aircraft operations; and </w:t>
                </w:r>
              </w:p>
              <w:p w14:paraId="0128914F" w14:textId="77777777" w:rsidR="00BC0A2A" w:rsidRPr="006738E0" w:rsidRDefault="00BC0A2A" w:rsidP="00BC0A2A">
                <w:pPr>
                  <w:pStyle w:val="ListParagraph"/>
                  <w:numPr>
                    <w:ilvl w:val="1"/>
                    <w:numId w:val="6"/>
                  </w:numPr>
                  <w:spacing w:after="240"/>
                  <w:contextualSpacing w:val="0"/>
                  <w:rPr>
                    <w:rFonts w:eastAsia="Times New Roman"/>
                    <w:sz w:val="24"/>
                    <w:szCs w:val="24"/>
                  </w:rPr>
                </w:pPr>
                <w:r w:rsidRPr="006738E0">
                  <w:rPr>
                    <w:rFonts w:eastAsia="Times New Roman"/>
                    <w:sz w:val="24"/>
                    <w:szCs w:val="24"/>
                  </w:rPr>
                  <w:t xml:space="preserve">May not be used to take a photograph or video for compensation or sale to another individual, pursuant to FAA guidelines. </w:t>
                </w:r>
              </w:p>
              <w:p w14:paraId="0C5B23EC" w14:textId="77777777" w:rsidR="00BC0A2A" w:rsidRPr="006738E0" w:rsidRDefault="00BC0A2A" w:rsidP="00A62CCB">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No UAS, including small unmanned aircraft and model aircrafts, shall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shall not be used to monitor, photograph or record residential hallways, residential lounges or the insides of campus daycare facilities. </w:t>
                </w:r>
                <w:r w:rsidR="00175F40" w:rsidRPr="006738E0">
                  <w:rPr>
                    <w:rFonts w:eastAsia="Times New Roman"/>
                    <w:sz w:val="24"/>
                    <w:szCs w:val="24"/>
                  </w:rPr>
                  <w:t xml:space="preserve">The UAS may not be used to monitor, photograph, or record sensitive institutional or personal private information. </w:t>
                </w:r>
                <w:r w:rsidRPr="006738E0">
                  <w:rPr>
                    <w:rFonts w:eastAsia="Times New Roman"/>
                    <w:sz w:val="24"/>
                    <w:szCs w:val="24"/>
                  </w:rPr>
                  <w:t xml:space="preserve">Recommended guidelines are </w:t>
                </w:r>
                <w:hyperlink r:id="rId15" w:history="1">
                  <w:r w:rsidRPr="006738E0">
                    <w:rPr>
                      <w:rStyle w:val="Hyperlink"/>
                      <w:rFonts w:eastAsia="Times New Roman"/>
                      <w:sz w:val="24"/>
                      <w:szCs w:val="24"/>
                    </w:rPr>
                    <w:t>NTIA’s Privacy Best Practices for UAS Privacy, Transparency, and Accountability</w:t>
                  </w:r>
                </w:hyperlink>
                <w:r w:rsidRPr="006738E0">
                  <w:rPr>
                    <w:rFonts w:eastAsia="Times New Roman"/>
                    <w:sz w:val="24"/>
                    <w:szCs w:val="24"/>
                  </w:rPr>
                  <w:t xml:space="preserve">. </w:t>
                </w:r>
              </w:p>
              <w:p w14:paraId="1F7DCC42" w14:textId="77777777" w:rsidR="00BC0A2A" w:rsidRPr="006738E0" w:rsidRDefault="00BC0A2A" w:rsidP="00BC0A2A">
                <w:pPr>
                  <w:pStyle w:val="ListParagraph"/>
                  <w:numPr>
                    <w:ilvl w:val="0"/>
                    <w:numId w:val="6"/>
                  </w:numPr>
                  <w:spacing w:after="240"/>
                  <w:contextualSpacing w:val="0"/>
                  <w:rPr>
                    <w:rFonts w:eastAsia="Times New Roman"/>
                    <w:sz w:val="24"/>
                    <w:szCs w:val="24"/>
                    <w:u w:val="single"/>
                  </w:rPr>
                </w:pPr>
                <w:r w:rsidRPr="006738E0">
                  <w:rPr>
                    <w:rFonts w:eastAsia="Times New Roman"/>
                    <w:sz w:val="24"/>
                    <w:szCs w:val="24"/>
                  </w:rPr>
                  <w:t>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t>
                </w:r>
              </w:p>
              <w:p w14:paraId="3811D5CF" w14:textId="77777777" w:rsidR="00BC0A2A" w:rsidRPr="006738E0" w:rsidRDefault="00BC0A2A" w:rsidP="00BC0A2A">
                <w:pPr>
                  <w:pStyle w:val="ListParagraph"/>
                  <w:numPr>
                    <w:ilvl w:val="0"/>
                    <w:numId w:val="6"/>
                  </w:numPr>
                  <w:spacing w:after="240"/>
                  <w:contextualSpacing w:val="0"/>
                  <w:rPr>
                    <w:rFonts w:eastAsia="Times New Roman"/>
                    <w:sz w:val="24"/>
                    <w:szCs w:val="24"/>
                    <w:u w:val="single"/>
                  </w:rPr>
                </w:pPr>
                <w:r w:rsidRPr="006738E0">
                  <w:rPr>
                    <w:rFonts w:eastAsia="Times New Roman"/>
                    <w:sz w:val="24"/>
                    <w:szCs w:val="24"/>
                  </w:rPr>
                  <w:t xml:space="preserve">Any violations of this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p>
              <w:p w14:paraId="1F442F85" w14:textId="77777777" w:rsidR="00BC0A2A" w:rsidRPr="006738E0" w:rsidRDefault="00BC0A2A" w:rsidP="0087265C">
                <w:pPr>
                  <w:pStyle w:val="ListParagraph"/>
                  <w:numPr>
                    <w:ilvl w:val="0"/>
                    <w:numId w:val="6"/>
                  </w:numPr>
                  <w:spacing w:after="0"/>
                  <w:contextualSpacing w:val="0"/>
                  <w:rPr>
                    <w:rFonts w:eastAsia="Times New Roman"/>
                    <w:sz w:val="24"/>
                    <w:szCs w:val="24"/>
                  </w:rPr>
                </w:pPr>
                <w:r w:rsidRPr="006738E0">
                  <w:rPr>
                    <w:rFonts w:eastAsia="Times New Roman"/>
                    <w:sz w:val="24"/>
                    <w:szCs w:val="24"/>
                  </w:rPr>
                  <w:t xml:space="preserve">Additional Liability Insurance*: </w:t>
                </w:r>
              </w:p>
              <w:p w14:paraId="15DFBDDD"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Hobbyist:  Operator shall have general liability insurance - $100,000 per occurrence / $200,000 aggregate</w:t>
                </w:r>
              </w:p>
              <w:p w14:paraId="438371C5"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 xml:space="preserve">Public/Governmental: FSU’s General Liability insurance covers FSU employees when operating UAS during the course and scope of their job duties. Student operations should have general liability insurance of $1 Million per occurrence / $2 Million aggregate.  </w:t>
                </w:r>
              </w:p>
              <w:p w14:paraId="24B06C08"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Commercial/Business:  Operator shall have general liability insurance of $100,000 per occurrence / $200,000 aggregate</w:t>
                </w:r>
              </w:p>
              <w:p w14:paraId="1F2D441A" w14:textId="77777777" w:rsidR="00BC0A2A" w:rsidRPr="006738E0" w:rsidRDefault="00BC0A2A" w:rsidP="00BC0A2A">
                <w:pPr>
                  <w:spacing w:after="240"/>
                  <w:ind w:left="1094" w:hanging="187"/>
                  <w:rPr>
                    <w:rFonts w:eastAsia="Times New Roman"/>
                    <w:sz w:val="24"/>
                    <w:szCs w:val="24"/>
                  </w:rPr>
                </w:pPr>
                <w:r w:rsidRPr="006738E0">
                  <w:rPr>
                    <w:rFonts w:eastAsia="Times New Roman"/>
                    <w:sz w:val="24"/>
                    <w:szCs w:val="24"/>
                  </w:rPr>
                  <w:lastRenderedPageBreak/>
                  <w:t>* Florida State University Board of Trustees shall be named as Additional Insured on the Insurance Certificate and a copy shall be provided to FSU as part of the flight operations approval process.</w:t>
                </w:r>
              </w:p>
              <w:p w14:paraId="269A6114"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bCs/>
                    <w:sz w:val="24"/>
                    <w:szCs w:val="24"/>
                  </w:rPr>
                  <w:t xml:space="preserve">Export Controls: </w:t>
                </w:r>
                <w:r w:rsidRPr="006738E0">
                  <w:rPr>
                    <w:rFonts w:eastAsia="Times New Roman"/>
                    <w:sz w:val="24"/>
                    <w:szCs w:val="24"/>
                  </w:rPr>
                  <w:t xml:space="preserve">In keeping within our mission to ensure compliance throughout the university, drone owners and operators are advised to be aware of and comply with all federal, state and local laws when handling drones.  These laws include U.S. Export Control regulations and laws.  Restrictions on the export and international sale of unmanned vehicle systems (UASs) are strict and can be complex. UAS’s include the unmanned aerial vehicle, components, parts, software, and technical data/technology. While using, developing, or working with any UAS, the owner/operator needs to be aware of existing rules and export control laws. Additional details about these regulations may be found at </w:t>
                </w:r>
                <w:hyperlink r:id="rId16" w:history="1">
                  <w:r w:rsidRPr="006738E0">
                    <w:rPr>
                      <w:rStyle w:val="Hyperlink"/>
                      <w:rFonts w:eastAsia="Times New Roman"/>
                      <w:sz w:val="24"/>
                      <w:szCs w:val="24"/>
                    </w:rPr>
                    <w:t>https://www.research.fsu.edu/research-compliance/export-controls/ecplan/</w:t>
                  </w:r>
                </w:hyperlink>
                <w:r w:rsidRPr="006738E0">
                  <w:rPr>
                    <w:rFonts w:eastAsia="Times New Roman"/>
                    <w:sz w:val="24"/>
                    <w:szCs w:val="24"/>
                  </w:rPr>
                  <w:t>.</w:t>
                </w:r>
              </w:p>
              <w:p w14:paraId="0B8B089F" w14:textId="77777777" w:rsidR="00BC0A2A" w:rsidRPr="006738E0" w:rsidRDefault="00BC0A2A" w:rsidP="00BC0A2A">
                <w:pPr>
                  <w:pStyle w:val="NormalWeb"/>
                  <w:spacing w:before="0" w:beforeAutospacing="0" w:after="240" w:afterAutospacing="0"/>
                  <w:ind w:left="720"/>
                </w:pPr>
                <w:r w:rsidRPr="006738E0">
                  <w:t xml:space="preserve">The regulations define an export to include the transfer of controlled </w:t>
                </w:r>
                <w:r w:rsidRPr="006738E0">
                  <w:rPr>
                    <w:rStyle w:val="Emphasis"/>
                  </w:rPr>
                  <w:t xml:space="preserve">information or services </w:t>
                </w:r>
                <w:r w:rsidRPr="006738E0">
                  <w:t xml:space="preserve">to foreign nationals even when the transfer takes place within the territory of the United States. Therefore, a transfer of controlled technology, source code, technical data, or defense services to a foreign national is </w:t>
                </w:r>
                <w:r w:rsidRPr="006738E0">
                  <w:rPr>
                    <w:i/>
                  </w:rPr>
                  <w:t>deemed</w:t>
                </w:r>
                <w:r w:rsidRPr="006738E0">
                  <w:t xml:space="preserve"> to be an export to the national’s country even if the transfer takes place in the United States.</w:t>
                </w:r>
              </w:p>
              <w:p w14:paraId="6FD672C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Depending on the drone type and/or its use, it could be restricted by the International Traffic in Arms Regulations (ITAR).  The items on the ITAR munitions list are specifically designed, modified, or prepared for military end use. A license is required before exporting ITAR items (including defense services, software, and technology) to almost any country. A “defense service” is equivalent to a “deemed export” under the EAR. If an ITAR-controlled item (component, payload, etc.) is incorporated into a new uncontrolled item (drone), that entire new item is subject to the ITAR. </w:t>
                </w:r>
              </w:p>
              <w:p w14:paraId="10FD62C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Nearly everything else (items not controlled under the ITAR) is considered “dual use” and controlled under the Export Administration Regulations (EAR). Licenses are required before exporting (including deemed exporting) certain dual use items listed on the Commerce Control List (CCL) to specified destinations. These items may include technology, technical data, and technical assistance, which are designed for commercial purpose, but may be used for military applications. </w:t>
                </w:r>
              </w:p>
              <w:p w14:paraId="63C25DB4" w14:textId="77777777" w:rsidR="00BC0A2A" w:rsidRPr="006738E0" w:rsidRDefault="00BC0A2A" w:rsidP="00BC0A2A">
                <w:pPr>
                  <w:spacing w:after="240"/>
                  <w:ind w:left="720"/>
                  <w:rPr>
                    <w:rFonts w:eastAsia="Times New Roman"/>
                    <w:b/>
                    <w:bCs/>
                    <w:sz w:val="24"/>
                    <w:szCs w:val="24"/>
                  </w:rPr>
                </w:pPr>
                <w:r w:rsidRPr="006738E0">
                  <w:rPr>
                    <w:rFonts w:eastAsia="Times New Roman"/>
                    <w:sz w:val="24"/>
                    <w:szCs w:val="24"/>
                  </w:rPr>
                  <w:t xml:space="preserve">The export regulations would apply whether the item was purchased from a third party or developed by FSU researchers/faculty/staff/students. </w:t>
                </w:r>
              </w:p>
              <w:p w14:paraId="3291A93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The owner/operator must know the proper </w:t>
                </w:r>
                <w:r w:rsidRPr="006738E0">
                  <w:rPr>
                    <w:rFonts w:eastAsia="Times New Roman"/>
                    <w:i/>
                    <w:sz w:val="24"/>
                    <w:szCs w:val="24"/>
                  </w:rPr>
                  <w:t>classification</w:t>
                </w:r>
                <w:r w:rsidRPr="006738E0">
                  <w:rPr>
                    <w:rFonts w:eastAsia="Times New Roman"/>
                    <w:sz w:val="24"/>
                    <w:szCs w:val="24"/>
                  </w:rPr>
                  <w:t xml:space="preserve"> of the drone so as to prevent any export control violations. If the UAS or any payload is purchased from a supplier, the supplier should be able to provide applicable export control information. </w:t>
                </w:r>
              </w:p>
              <w:p w14:paraId="19149EBC" w14:textId="77777777" w:rsidR="00BC0A2A" w:rsidRPr="006738E0" w:rsidRDefault="00BC0A2A" w:rsidP="00BC0A2A">
                <w:pPr>
                  <w:spacing w:after="240"/>
                  <w:ind w:left="720"/>
                  <w:rPr>
                    <w:sz w:val="24"/>
                    <w:szCs w:val="24"/>
                  </w:rPr>
                </w:pPr>
                <w:r w:rsidRPr="006738E0">
                  <w:rPr>
                    <w:rFonts w:eastAsia="Times New Roman"/>
                    <w:sz w:val="24"/>
                    <w:szCs w:val="24"/>
                  </w:rPr>
                  <w:lastRenderedPageBreak/>
                  <w:t xml:space="preserve">Additional information on export controls is available from Diana Key, Director, Office of Research Compliance Programs, at </w:t>
                </w:r>
                <w:hyperlink r:id="rId17" w:history="1">
                  <w:r w:rsidRPr="006738E0">
                    <w:rPr>
                      <w:rStyle w:val="Hyperlink"/>
                      <w:rFonts w:eastAsia="Times New Roman"/>
                      <w:sz w:val="24"/>
                      <w:szCs w:val="24"/>
                    </w:rPr>
                    <w:t>dkey@fsu.edu</w:t>
                  </w:r>
                </w:hyperlink>
                <w:r w:rsidRPr="006738E0">
                  <w:rPr>
                    <w:rFonts w:eastAsia="Times New Roman"/>
                    <w:sz w:val="24"/>
                    <w:szCs w:val="24"/>
                  </w:rPr>
                  <w:t xml:space="preserve"> or (850) 644-8648.</w:t>
                </w:r>
              </w:p>
              <w:p w14:paraId="471A5548"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Procurement of UAS and Third-Party Drone Services:  All procurement transactions related to UAS and third-party drone services must abide by FSU Procurement’s policies and procedures. Newly purchased UAS must be registered immediately in accordance with B.3. of this policy.</w:t>
                </w:r>
              </w:p>
              <w:p w14:paraId="584693D4" w14:textId="77777777" w:rsidR="00BC0A2A"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Recordkeeping: Operators shall maintain records of flight activity (including a copy of the approved FSU Flight Approval Request form), incidents/accidents, lost-link events, drone maintenance and inspection, drone flight crew training/qualifications, and participant/property owner consent.  The UAS operator shall make these records available for inspection by University and FAA representatives—before, during, and after flight operations.</w:t>
                </w:r>
              </w:p>
              <w:p w14:paraId="26A222B4" w14:textId="77777777" w:rsidR="00FB13BE" w:rsidRPr="0087265C" w:rsidRDefault="0087265C" w:rsidP="0087265C">
                <w:pPr>
                  <w:pStyle w:val="ListParagraph"/>
                  <w:numPr>
                    <w:ilvl w:val="0"/>
                    <w:numId w:val="6"/>
                  </w:numPr>
                  <w:spacing w:after="240"/>
                  <w:contextualSpacing w:val="0"/>
                  <w:rPr>
                    <w:rFonts w:eastAsia="Times New Roman"/>
                    <w:sz w:val="24"/>
                    <w:szCs w:val="24"/>
                  </w:rPr>
                </w:pPr>
                <w:r>
                  <w:rPr>
                    <w:rFonts w:eastAsia="Times New Roman"/>
                    <w:sz w:val="24"/>
                    <w:szCs w:val="24"/>
                  </w:rPr>
                  <w:t>Accident/Incident Reporting: For flights approved under this Policy, UAS operators are required to r</w:t>
                </w:r>
                <w:r w:rsidRPr="00474285">
                  <w:rPr>
                    <w:rFonts w:eastAsia="Times New Roman"/>
                    <w:sz w:val="24"/>
                    <w:szCs w:val="24"/>
                  </w:rPr>
                  <w:t>eport to</w:t>
                </w:r>
                <w:r>
                  <w:rPr>
                    <w:rFonts w:eastAsia="Times New Roman"/>
                    <w:sz w:val="24"/>
                    <w:szCs w:val="24"/>
                  </w:rPr>
                  <w:t xml:space="preserve"> FSU’s Environmental Health and Safety at (850) 644-6895 or </w:t>
                </w:r>
                <w:hyperlink r:id="rId18" w:history="1">
                  <w:r w:rsidRPr="00073AC9">
                    <w:rPr>
                      <w:rStyle w:val="Hyperlink"/>
                      <w:rFonts w:eastAsia="Times New Roman"/>
                      <w:sz w:val="24"/>
                      <w:szCs w:val="24"/>
                    </w:rPr>
                    <w:t>ehs@admin.fsu.edu</w:t>
                  </w:r>
                </w:hyperlink>
                <w:r>
                  <w:rPr>
                    <w:rFonts w:eastAsia="Times New Roman"/>
                    <w:sz w:val="24"/>
                    <w:szCs w:val="24"/>
                  </w:rPr>
                  <w:t xml:space="preserve"> </w:t>
                </w:r>
                <w:r w:rsidRPr="00474285">
                  <w:rPr>
                    <w:rFonts w:eastAsia="Times New Roman"/>
                    <w:sz w:val="24"/>
                    <w:szCs w:val="24"/>
                  </w:rPr>
                  <w:t xml:space="preserve">within </w:t>
                </w:r>
                <w:r w:rsidR="00433F6F">
                  <w:rPr>
                    <w:rFonts w:eastAsia="Times New Roman"/>
                    <w:sz w:val="24"/>
                    <w:szCs w:val="24"/>
                  </w:rPr>
                  <w:t>72</w:t>
                </w:r>
                <w:r w:rsidR="000A7271">
                  <w:rPr>
                    <w:rFonts w:eastAsia="Times New Roman"/>
                    <w:sz w:val="24"/>
                    <w:szCs w:val="24"/>
                  </w:rPr>
                  <w:t xml:space="preserve"> hours</w:t>
                </w:r>
                <w:r w:rsidRPr="00474285">
                  <w:rPr>
                    <w:rFonts w:eastAsia="Times New Roman"/>
                    <w:sz w:val="24"/>
                    <w:szCs w:val="24"/>
                  </w:rPr>
                  <w:t xml:space="preserve"> of any operation that results in at least serious injury, loss of consciousness, or property damage of at least $500.</w:t>
                </w:r>
                <w:r>
                  <w:rPr>
                    <w:rFonts w:eastAsia="Times New Roman"/>
                    <w:sz w:val="24"/>
                    <w:szCs w:val="24"/>
                  </w:rPr>
                  <w:t xml:space="preserve"> </w:t>
                </w:r>
                <w:r w:rsidR="000A7271">
                  <w:rPr>
                    <w:rFonts w:eastAsia="Times New Roman"/>
                    <w:sz w:val="24"/>
                    <w:szCs w:val="24"/>
                  </w:rPr>
                  <w:t>A “s</w:t>
                </w:r>
                <w:r w:rsidR="00DF792C">
                  <w:rPr>
                    <w:rFonts w:eastAsia="Times New Roman"/>
                    <w:sz w:val="24"/>
                    <w:szCs w:val="24"/>
                  </w:rPr>
                  <w:t>erious injury</w:t>
                </w:r>
                <w:r w:rsidR="000A7271">
                  <w:rPr>
                    <w:rFonts w:eastAsia="Times New Roman"/>
                    <w:sz w:val="24"/>
                    <w:szCs w:val="24"/>
                  </w:rPr>
                  <w:t>” for the purposes of this policy</w:t>
                </w:r>
                <w:r w:rsidR="00DF792C">
                  <w:rPr>
                    <w:rFonts w:eastAsia="Times New Roman"/>
                    <w:sz w:val="24"/>
                    <w:szCs w:val="24"/>
                  </w:rPr>
                  <w:t xml:space="preserve"> </w:t>
                </w:r>
                <w:r w:rsidR="000A7271">
                  <w:rPr>
                    <w:rFonts w:eastAsia="Times New Roman"/>
                    <w:sz w:val="24"/>
                    <w:szCs w:val="24"/>
                  </w:rPr>
                  <w:t>is any injury which</w:t>
                </w:r>
                <w:r w:rsidR="00DF792C">
                  <w:rPr>
                    <w:rFonts w:eastAsia="Times New Roman"/>
                    <w:sz w:val="24"/>
                    <w:szCs w:val="24"/>
                  </w:rPr>
                  <w:t xml:space="preserve">: (a) </w:t>
                </w:r>
                <w:r w:rsidR="000A7271">
                  <w:rPr>
                    <w:rFonts w:eastAsia="Times New Roman"/>
                    <w:sz w:val="24"/>
                    <w:szCs w:val="24"/>
                  </w:rPr>
                  <w:t xml:space="preserve">requires </w:t>
                </w:r>
                <w:r w:rsidR="00DF792C">
                  <w:rPr>
                    <w:rFonts w:eastAsia="Times New Roman"/>
                    <w:sz w:val="24"/>
                    <w:szCs w:val="24"/>
                  </w:rPr>
                  <w:t xml:space="preserve">hospitalization for more than 48 hours, commencing within 7 days from the date the injury was received; (b) </w:t>
                </w:r>
                <w:r w:rsidR="000A7271">
                  <w:rPr>
                    <w:rFonts w:eastAsia="Times New Roman"/>
                    <w:sz w:val="24"/>
                    <w:szCs w:val="24"/>
                  </w:rPr>
                  <w:t xml:space="preserve">results in </w:t>
                </w:r>
                <w:r w:rsidR="00DF792C">
                  <w:rPr>
                    <w:rFonts w:eastAsia="Times New Roman"/>
                    <w:sz w:val="24"/>
                    <w:szCs w:val="24"/>
                  </w:rPr>
                  <w:t xml:space="preserve">a fracture of any bone except simple fractures of fingers, toes, or nose; (c) </w:t>
                </w:r>
                <w:r w:rsidR="000A7271">
                  <w:rPr>
                    <w:rFonts w:eastAsia="Times New Roman"/>
                    <w:sz w:val="24"/>
                    <w:szCs w:val="24"/>
                  </w:rPr>
                  <w:t xml:space="preserve">causes severe hemorrhages or nerve, muscle, or tendon damage; (d) involves any internal organ; or (e) involves second- or third-degree burns, or any burns affecting more than 5 percent of the body surface. </w:t>
                </w:r>
                <w:r w:rsidR="000A7271">
                  <w:rPr>
                    <w:rFonts w:eastAsia="Times New Roman"/>
                    <w:sz w:val="24"/>
                    <w:szCs w:val="24"/>
                  </w:rPr>
                  <w:br/>
                </w:r>
                <w:r w:rsidR="000A7271">
                  <w:rPr>
                    <w:rFonts w:eastAsia="Times New Roman"/>
                    <w:sz w:val="24"/>
                    <w:szCs w:val="24"/>
                  </w:rPr>
                  <w:br/>
                </w:r>
                <w:r>
                  <w:rPr>
                    <w:rFonts w:eastAsia="Times New Roman"/>
                    <w:sz w:val="24"/>
                    <w:szCs w:val="24"/>
                  </w:rPr>
                  <w:t xml:space="preserve">In addition, certain </w:t>
                </w:r>
                <w:r w:rsidRPr="00474285">
                  <w:rPr>
                    <w:rFonts w:eastAsia="Times New Roman"/>
                    <w:sz w:val="24"/>
                    <w:szCs w:val="24"/>
                  </w:rPr>
                  <w:t xml:space="preserve">UAS accidents must also be reported to the </w:t>
                </w:r>
                <w:r>
                  <w:rPr>
                    <w:rFonts w:eastAsia="Times New Roman"/>
                    <w:sz w:val="24"/>
                    <w:szCs w:val="24"/>
                  </w:rPr>
                  <w:t xml:space="preserve">FAA and/or the </w:t>
                </w:r>
                <w:r w:rsidRPr="00474285">
                  <w:rPr>
                    <w:rFonts w:eastAsia="Times New Roman"/>
                    <w:sz w:val="24"/>
                    <w:szCs w:val="24"/>
                  </w:rPr>
                  <w:t>N</w:t>
                </w:r>
                <w:r>
                  <w:rPr>
                    <w:rFonts w:eastAsia="Times New Roman"/>
                    <w:sz w:val="24"/>
                    <w:szCs w:val="24"/>
                  </w:rPr>
                  <w:t xml:space="preserve">ational </w:t>
                </w:r>
                <w:r w:rsidRPr="00474285">
                  <w:rPr>
                    <w:rFonts w:eastAsia="Times New Roman"/>
                    <w:sz w:val="24"/>
                    <w:szCs w:val="24"/>
                  </w:rPr>
                  <w:t>T</w:t>
                </w:r>
                <w:r>
                  <w:rPr>
                    <w:rFonts w:eastAsia="Times New Roman"/>
                    <w:sz w:val="24"/>
                    <w:szCs w:val="24"/>
                  </w:rPr>
                  <w:t xml:space="preserve">ransportation </w:t>
                </w:r>
                <w:r w:rsidRPr="00474285">
                  <w:rPr>
                    <w:rFonts w:eastAsia="Times New Roman"/>
                    <w:sz w:val="24"/>
                    <w:szCs w:val="24"/>
                  </w:rPr>
                  <w:t>S</w:t>
                </w:r>
                <w:r>
                  <w:rPr>
                    <w:rFonts w:eastAsia="Times New Roman"/>
                    <w:sz w:val="24"/>
                    <w:szCs w:val="24"/>
                  </w:rPr>
                  <w:t xml:space="preserve">afety </w:t>
                </w:r>
                <w:r w:rsidRPr="00474285">
                  <w:rPr>
                    <w:rFonts w:eastAsia="Times New Roman"/>
                    <w:sz w:val="24"/>
                    <w:szCs w:val="24"/>
                  </w:rPr>
                  <w:t>B</w:t>
                </w:r>
                <w:r>
                  <w:rPr>
                    <w:rFonts w:eastAsia="Times New Roman"/>
                    <w:sz w:val="24"/>
                    <w:szCs w:val="24"/>
                  </w:rPr>
                  <w:t>oard</w:t>
                </w:r>
                <w:r w:rsidRPr="00474285">
                  <w:rPr>
                    <w:rFonts w:eastAsia="Times New Roman"/>
                    <w:sz w:val="24"/>
                    <w:szCs w:val="24"/>
                  </w:rPr>
                  <w:t>,</w:t>
                </w:r>
                <w:r w:rsidRPr="006A4ABD">
                  <w:rPr>
                    <w:rFonts w:eastAsia="Times New Roman"/>
                    <w:sz w:val="24"/>
                    <w:szCs w:val="24"/>
                  </w:rPr>
                  <w:t xml:space="preserve"> </w:t>
                </w:r>
                <w:r w:rsidRPr="00474285">
                  <w:rPr>
                    <w:rFonts w:eastAsia="Times New Roman"/>
                    <w:sz w:val="24"/>
                    <w:szCs w:val="24"/>
                  </w:rPr>
                  <w:t xml:space="preserve">in accordance with the criteria established by </w:t>
                </w:r>
                <w:r>
                  <w:rPr>
                    <w:rFonts w:eastAsia="Times New Roman"/>
                    <w:sz w:val="24"/>
                    <w:szCs w:val="24"/>
                  </w:rPr>
                  <w:t>those agencies.</w:t>
                </w:r>
              </w:p>
              <w:p w14:paraId="351A2271" w14:textId="0A21DFBC" w:rsidR="008370C4" w:rsidRPr="006738E0" w:rsidRDefault="00BC0A2A" w:rsidP="00622F40">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Activity Reporting: FSU’s COA Coordinator is responsible for submitting reports to the FAA related to flights operating under FSU’s </w:t>
                </w:r>
                <w:r w:rsidR="00CC6892" w:rsidRPr="006738E0">
                  <w:rPr>
                    <w:rFonts w:eastAsia="Times New Roman"/>
                    <w:sz w:val="24"/>
                    <w:szCs w:val="24"/>
                  </w:rPr>
                  <w:t xml:space="preserve">Public </w:t>
                </w:r>
                <w:r w:rsidRPr="006738E0">
                  <w:rPr>
                    <w:rFonts w:eastAsia="Times New Roman"/>
                    <w:sz w:val="24"/>
                    <w:szCs w:val="24"/>
                  </w:rPr>
                  <w:t>COA, in accordance the requirements of the COA. To facilitate this reporting, the Responsible Person is required to submit details of all flight activities conducted during the month to the COA Coordinator no later than the 5</w:t>
                </w:r>
                <w:r w:rsidRPr="006738E0">
                  <w:rPr>
                    <w:rFonts w:eastAsia="Times New Roman"/>
                    <w:sz w:val="24"/>
                    <w:szCs w:val="24"/>
                    <w:vertAlign w:val="superscript"/>
                  </w:rPr>
                  <w:t>th</w:t>
                </w:r>
                <w:r w:rsidRPr="006738E0">
                  <w:rPr>
                    <w:rFonts w:eastAsia="Times New Roman"/>
                    <w:sz w:val="24"/>
                    <w:szCs w:val="24"/>
                  </w:rPr>
                  <w:t xml:space="preserve"> of the following month (e.g., May flight activities report is due June 5), using the report template available at</w:t>
                </w:r>
                <w:r w:rsidR="00622F40" w:rsidRPr="006738E0">
                  <w:rPr>
                    <w:rFonts w:eastAsia="Times New Roman"/>
                    <w:sz w:val="24"/>
                    <w:szCs w:val="24"/>
                  </w:rPr>
                  <w:t xml:space="preserve"> </w:t>
                </w:r>
                <w:hyperlink r:id="rId19" w:history="1">
                  <w:r w:rsidR="00624EFF" w:rsidRPr="00426B21">
                    <w:rPr>
                      <w:rStyle w:val="Hyperlink"/>
                      <w:rFonts w:eastAsia="Times New Roman"/>
                      <w:sz w:val="24"/>
                      <w:szCs w:val="24"/>
                    </w:rPr>
                    <w:t>drones.fsu.edu</w:t>
                  </w:r>
                </w:hyperlink>
                <w:r w:rsidR="00622F40" w:rsidRPr="006738E0">
                  <w:rPr>
                    <w:rFonts w:eastAsia="Times New Roman"/>
                    <w:sz w:val="24"/>
                    <w:szCs w:val="24"/>
                  </w:rPr>
                  <w:t>.</w:t>
                </w:r>
                <w:r w:rsidRPr="006738E0">
                  <w:rPr>
                    <w:rFonts w:eastAsia="Times New Roman"/>
                    <w:sz w:val="24"/>
                    <w:szCs w:val="24"/>
                  </w:rPr>
                  <w:t xml:space="preserve"> Negative (zero flights) reports are required. </w:t>
                </w:r>
              </w:p>
              <w:p w14:paraId="46A814BA" w14:textId="77777777" w:rsidR="00B6798D" w:rsidRPr="004A56F5" w:rsidRDefault="008370C4" w:rsidP="00622F40">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Questions about this policy may be addressed to Edwin “Hank” Jacob, </w:t>
                </w:r>
                <w:r w:rsidRPr="006738E0">
                  <w:rPr>
                    <w:sz w:val="24"/>
                    <w:szCs w:val="24"/>
                  </w:rPr>
                  <w:t>Lieutenant, FSU Department of Public Safety; (850) 644-2391.</w:t>
                </w:r>
              </w:p>
            </w:tc>
          </w:sdtContent>
        </w:sdt>
      </w:tr>
      <w:tr w:rsidR="00B6798D" w14:paraId="3F638619" w14:textId="77777777" w:rsidTr="00175F40">
        <w:trPr>
          <w:trHeight w:val="432"/>
        </w:trPr>
        <w:tc>
          <w:tcPr>
            <w:tcW w:w="485" w:type="dxa"/>
            <w:vAlign w:val="center"/>
          </w:tcPr>
          <w:p w14:paraId="03BA188F" w14:textId="77777777" w:rsidR="00B6798D" w:rsidRDefault="00B6798D" w:rsidP="00C911D9"/>
        </w:tc>
        <w:tc>
          <w:tcPr>
            <w:tcW w:w="8875" w:type="dxa"/>
            <w:vAlign w:val="center"/>
          </w:tcPr>
          <w:p w14:paraId="154CD3BC" w14:textId="77777777" w:rsidR="00B6798D" w:rsidRDefault="00B6798D" w:rsidP="00C911D9"/>
        </w:tc>
      </w:tr>
    </w:tbl>
    <w:p w14:paraId="681C4CC3" w14:textId="77777777" w:rsidR="00175F40" w:rsidRDefault="00175F40">
      <w:r>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5013"/>
        <w:gridCol w:w="449"/>
        <w:gridCol w:w="2633"/>
        <w:gridCol w:w="780"/>
      </w:tblGrid>
      <w:tr w:rsidR="00B6798D" w14:paraId="7BE76E06" w14:textId="77777777" w:rsidTr="00175F40">
        <w:trPr>
          <w:trHeight w:val="144"/>
        </w:trPr>
        <w:tc>
          <w:tcPr>
            <w:tcW w:w="485" w:type="dxa"/>
            <w:vAlign w:val="center"/>
          </w:tcPr>
          <w:p w14:paraId="20B9D352" w14:textId="77777777" w:rsidR="00B6798D" w:rsidRPr="001B60D8" w:rsidRDefault="001B60D8" w:rsidP="001B60D8">
            <w:pPr>
              <w:pStyle w:val="PolicyTitle"/>
            </w:pPr>
            <w:r w:rsidRPr="001B60D8">
              <w:lastRenderedPageBreak/>
              <w:t>III.</w:t>
            </w:r>
          </w:p>
        </w:tc>
        <w:tc>
          <w:tcPr>
            <w:tcW w:w="8875" w:type="dxa"/>
            <w:gridSpan w:val="4"/>
            <w:vAlign w:val="center"/>
          </w:tcPr>
          <w:p w14:paraId="13ECBBA5" w14:textId="77777777" w:rsidR="00B6798D" w:rsidRPr="001B60D8" w:rsidRDefault="00B6798D" w:rsidP="001B60D8">
            <w:pPr>
              <w:pStyle w:val="PolicyTitle"/>
            </w:pPr>
            <w:r w:rsidRPr="001B60D8">
              <w:t>LEGAL SUPPORT, JUSTIFICATION, AND REVIEW OF THIS POLICY</w:t>
            </w:r>
          </w:p>
        </w:tc>
      </w:tr>
      <w:tr w:rsidR="00B6798D" w14:paraId="0E128A91" w14:textId="77777777" w:rsidTr="00175F40">
        <w:trPr>
          <w:trHeight w:val="432"/>
        </w:trPr>
        <w:tc>
          <w:tcPr>
            <w:tcW w:w="485" w:type="dxa"/>
            <w:vAlign w:val="center"/>
          </w:tcPr>
          <w:p w14:paraId="7874C826" w14:textId="77777777" w:rsidR="00B6798D" w:rsidRDefault="00B6798D" w:rsidP="00C911D9"/>
        </w:tc>
        <w:sdt>
          <w:sdtPr>
            <w:alias w:val="Supporting Documentation"/>
            <w:tag w:val="Supporting Documentation"/>
            <w:id w:val="-1592233573"/>
            <w:placeholder>
              <w:docPart w:val="A99F9AC2CAE74A39A6543CBCA2C50391"/>
            </w:placeholder>
          </w:sdtPr>
          <w:sdtEndPr/>
          <w:sdtContent>
            <w:tc>
              <w:tcPr>
                <w:tcW w:w="8875" w:type="dxa"/>
                <w:gridSpan w:val="4"/>
                <w:vAlign w:val="center"/>
              </w:tcPr>
              <w:p w14:paraId="332F5044" w14:textId="77777777" w:rsidR="0063139E" w:rsidRDefault="006752D8" w:rsidP="0063139E">
                <w:pPr>
                  <w:spacing w:after="60"/>
                </w:pPr>
                <w:hyperlink r:id="rId20" w:history="1">
                  <w:r w:rsidR="0063139E" w:rsidRPr="0063139E">
                    <w:rPr>
                      <w:rStyle w:val="Hyperlink"/>
                    </w:rPr>
                    <w:t>Flight Data Center Notice to Airmen 4/3621</w:t>
                  </w:r>
                </w:hyperlink>
              </w:p>
              <w:p w14:paraId="39272149" w14:textId="77777777" w:rsidR="0063139E" w:rsidRDefault="006752D8" w:rsidP="0063139E">
                <w:pPr>
                  <w:spacing w:after="60"/>
                  <w:rPr>
                    <w:u w:val="single"/>
                  </w:rPr>
                </w:pPr>
                <w:hyperlink r:id="rId21" w:history="1">
                  <w:r w:rsidR="0063139E" w:rsidRPr="0063139E">
                    <w:rPr>
                      <w:rStyle w:val="Hyperlink"/>
                    </w:rPr>
                    <w:t>Code of Federal Regulations Title 14, Chapter 1</w:t>
                  </w:r>
                </w:hyperlink>
                <w:r w:rsidR="0063139E" w:rsidRPr="0063139E">
                  <w:t xml:space="preserve"> </w:t>
                </w:r>
              </w:p>
              <w:p w14:paraId="2D34CC88" w14:textId="77777777" w:rsidR="0063139E" w:rsidRDefault="006752D8" w:rsidP="0063139E">
                <w:pPr>
                  <w:spacing w:after="60"/>
                </w:pPr>
                <w:hyperlink r:id="rId22" w:history="1">
                  <w:r w:rsidR="0063139E" w:rsidRPr="0063139E">
                    <w:rPr>
                      <w:rStyle w:val="Hyperlink"/>
                    </w:rPr>
                    <w:t>FAA Modernization and Reform Act 2012</w:t>
                  </w:r>
                </w:hyperlink>
              </w:p>
              <w:p w14:paraId="5D973D2B" w14:textId="77777777" w:rsidR="00B6798D" w:rsidRPr="0063139E" w:rsidRDefault="006752D8" w:rsidP="0063139E">
                <w:pPr>
                  <w:spacing w:after="60"/>
                  <w:rPr>
                    <w:u w:val="single"/>
                  </w:rPr>
                </w:pPr>
                <w:hyperlink r:id="rId23" w:history="1">
                  <w:r w:rsidR="0063139E" w:rsidRPr="0063139E">
                    <w:rPr>
                      <w:rStyle w:val="Hyperlink"/>
                    </w:rPr>
                    <w:t>Florida Statute 934.50</w:t>
                  </w:r>
                </w:hyperlink>
              </w:p>
            </w:tc>
          </w:sdtContent>
        </w:sdt>
      </w:tr>
      <w:tr w:rsidR="005E3BE7" w14:paraId="477B2145" w14:textId="77777777" w:rsidTr="00175F40">
        <w:trPr>
          <w:trHeight w:val="20"/>
        </w:trPr>
        <w:tc>
          <w:tcPr>
            <w:tcW w:w="9360" w:type="dxa"/>
            <w:gridSpan w:val="5"/>
            <w:vAlign w:val="center"/>
          </w:tcPr>
          <w:p w14:paraId="785A9E63" w14:textId="77777777" w:rsidR="005E3BE7" w:rsidRDefault="005E3BE7" w:rsidP="009C3DC5">
            <w:pPr>
              <w:ind w:left="450"/>
            </w:pPr>
          </w:p>
        </w:tc>
      </w:tr>
      <w:tr w:rsidR="009C3DC5" w14:paraId="33FC60FF" w14:textId="77777777" w:rsidTr="00175F40">
        <w:trPr>
          <w:trHeight w:val="1872"/>
        </w:trPr>
        <w:tc>
          <w:tcPr>
            <w:tcW w:w="485" w:type="dxa"/>
            <w:vAlign w:val="bottom"/>
          </w:tcPr>
          <w:p w14:paraId="59B81DB8" w14:textId="77777777" w:rsidR="009C3DC5" w:rsidRDefault="009C3DC5" w:rsidP="003B28F1">
            <w:pPr>
              <w:jc w:val="center"/>
            </w:pPr>
          </w:p>
        </w:tc>
        <w:tc>
          <w:tcPr>
            <w:tcW w:w="5013" w:type="dxa"/>
            <w:tcBorders>
              <w:bottom w:val="single" w:sz="4" w:space="0" w:color="auto"/>
            </w:tcBorders>
            <w:vAlign w:val="bottom"/>
          </w:tcPr>
          <w:p w14:paraId="07590AE4"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49" w:type="dxa"/>
            <w:vAlign w:val="bottom"/>
          </w:tcPr>
          <w:p w14:paraId="7E0387A5" w14:textId="77777777" w:rsidR="009C3DC5" w:rsidRDefault="009C3DC5" w:rsidP="003B28F1">
            <w:pPr>
              <w:jc w:val="center"/>
            </w:pPr>
          </w:p>
        </w:tc>
        <w:tc>
          <w:tcPr>
            <w:tcW w:w="2633" w:type="dxa"/>
            <w:vAlign w:val="bottom"/>
          </w:tcPr>
          <w:p w14:paraId="6877B555" w14:textId="77777777" w:rsidR="009C3DC5" w:rsidRDefault="009C3DC5" w:rsidP="00B07653"/>
        </w:tc>
        <w:tc>
          <w:tcPr>
            <w:tcW w:w="780" w:type="dxa"/>
            <w:vAlign w:val="bottom"/>
          </w:tcPr>
          <w:p w14:paraId="53746966" w14:textId="77777777" w:rsidR="009C3DC5" w:rsidRDefault="009C3DC5" w:rsidP="003B28F1">
            <w:pPr>
              <w:jc w:val="center"/>
            </w:pPr>
          </w:p>
        </w:tc>
      </w:tr>
      <w:tr w:rsidR="009C3DC5" w14:paraId="2000915B" w14:textId="77777777" w:rsidTr="00175F40">
        <w:tc>
          <w:tcPr>
            <w:tcW w:w="485" w:type="dxa"/>
            <w:vAlign w:val="center"/>
          </w:tcPr>
          <w:p w14:paraId="7421E289" w14:textId="77777777" w:rsidR="009C3DC5" w:rsidRPr="003B28F1" w:rsidRDefault="009C3DC5" w:rsidP="003B28F1">
            <w:pPr>
              <w:jc w:val="center"/>
              <w:rPr>
                <w:sz w:val="18"/>
                <w:szCs w:val="18"/>
              </w:rPr>
            </w:pPr>
          </w:p>
        </w:tc>
        <w:tc>
          <w:tcPr>
            <w:tcW w:w="5013" w:type="dxa"/>
            <w:tcBorders>
              <w:top w:val="single" w:sz="4" w:space="0" w:color="auto"/>
            </w:tcBorders>
          </w:tcPr>
          <w:p w14:paraId="52FCA20C"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49" w:type="dxa"/>
            <w:vAlign w:val="center"/>
          </w:tcPr>
          <w:p w14:paraId="40E17F00" w14:textId="77777777" w:rsidR="009C3DC5" w:rsidRPr="003B28F1" w:rsidRDefault="009C3DC5" w:rsidP="003B28F1">
            <w:pPr>
              <w:jc w:val="center"/>
              <w:rPr>
                <w:sz w:val="18"/>
                <w:szCs w:val="18"/>
              </w:rPr>
            </w:pPr>
          </w:p>
        </w:tc>
        <w:tc>
          <w:tcPr>
            <w:tcW w:w="2633" w:type="dxa"/>
          </w:tcPr>
          <w:p w14:paraId="25D1F845" w14:textId="77777777" w:rsidR="009C3DC5" w:rsidRPr="003B28F1" w:rsidRDefault="009C3DC5" w:rsidP="00AE3E5F">
            <w:pPr>
              <w:jc w:val="center"/>
              <w:rPr>
                <w:sz w:val="18"/>
                <w:szCs w:val="18"/>
              </w:rPr>
            </w:pPr>
          </w:p>
        </w:tc>
        <w:tc>
          <w:tcPr>
            <w:tcW w:w="780" w:type="dxa"/>
            <w:vAlign w:val="center"/>
          </w:tcPr>
          <w:p w14:paraId="032E3DAC" w14:textId="77777777" w:rsidR="009C3DC5" w:rsidRPr="003B28F1" w:rsidRDefault="009C3DC5" w:rsidP="003B28F1">
            <w:pPr>
              <w:jc w:val="center"/>
              <w:rPr>
                <w:sz w:val="18"/>
                <w:szCs w:val="18"/>
              </w:rPr>
            </w:pPr>
          </w:p>
        </w:tc>
      </w:tr>
    </w:tbl>
    <w:p w14:paraId="50D5076F" w14:textId="77777777" w:rsidR="00AB7758" w:rsidRPr="00AB7758" w:rsidRDefault="00AB7758" w:rsidP="00AB7758"/>
    <w:sectPr w:rsidR="00AB7758" w:rsidRPr="00AB7758" w:rsidSect="00264AC9">
      <w:headerReference w:type="default" r:id="rId24"/>
      <w:footerReference w:type="default" r:id="rId25"/>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6318" w14:textId="77777777" w:rsidR="00BC0A2A" w:rsidRDefault="00BC0A2A" w:rsidP="00D03114">
      <w:r>
        <w:separator/>
      </w:r>
    </w:p>
  </w:endnote>
  <w:endnote w:type="continuationSeparator" w:id="0">
    <w:p w14:paraId="1B7282D1" w14:textId="77777777" w:rsidR="00BC0A2A" w:rsidRDefault="00BC0A2A"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3D65F25" w14:textId="77777777" w:rsidTr="00010977">
      <w:tc>
        <w:tcPr>
          <w:tcW w:w="3192" w:type="dxa"/>
        </w:tcPr>
        <w:p w14:paraId="1B199118"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3EDFF513" w14:textId="77777777" w:rsidR="00D03114" w:rsidRPr="00D03114" w:rsidRDefault="00D03114" w:rsidP="00010977">
          <w:pPr>
            <w:pStyle w:val="Footer"/>
            <w:jc w:val="center"/>
            <w:rPr>
              <w:color w:val="808080" w:themeColor="background1" w:themeShade="80"/>
              <w:sz w:val="16"/>
              <w:szCs w:val="16"/>
            </w:rPr>
          </w:pPr>
        </w:p>
      </w:tc>
      <w:tc>
        <w:tcPr>
          <w:tcW w:w="4842" w:type="dxa"/>
        </w:tcPr>
        <w:p w14:paraId="30C9ABF3" w14:textId="73CA5FED"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6752D8" w:rsidRPr="006752D8">
            <w:rPr>
              <w:b/>
              <w:bCs/>
              <w:noProof/>
              <w:color w:val="808080" w:themeColor="background1" w:themeShade="80"/>
              <w:sz w:val="16"/>
              <w:szCs w:val="16"/>
            </w:rPr>
            <w:t>1</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0CEE6D" w14:textId="77777777" w:rsidR="00D03114" w:rsidRDefault="00D03114">
    <w:pPr>
      <w:pStyle w:val="Footer"/>
    </w:pPr>
  </w:p>
  <w:p w14:paraId="1523993A"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B440" w14:textId="77777777" w:rsidR="00BC0A2A" w:rsidRDefault="00BC0A2A" w:rsidP="00D03114">
      <w:r>
        <w:separator/>
      </w:r>
    </w:p>
  </w:footnote>
  <w:footnote w:type="continuationSeparator" w:id="0">
    <w:p w14:paraId="46124E10" w14:textId="77777777" w:rsidR="00BC0A2A" w:rsidRDefault="00BC0A2A"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749AC052" w14:textId="77777777" w:rsidTr="00C72E7E">
      <w:tc>
        <w:tcPr>
          <w:tcW w:w="10170" w:type="dxa"/>
        </w:tcPr>
        <w:p w14:paraId="17DF8269" w14:textId="77777777" w:rsidR="00E25CCA" w:rsidRDefault="00E25CCA">
          <w:pPr>
            <w:pStyle w:val="Header"/>
          </w:pPr>
          <w:r>
            <w:rPr>
              <w:noProof/>
            </w:rPr>
            <w:drawing>
              <wp:inline distT="0" distB="0" distL="0" distR="0" wp14:anchorId="1AD7E5BD" wp14:editId="67954DFD">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6FD1033F"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A91"/>
    <w:multiLevelType w:val="hybridMultilevel"/>
    <w:tmpl w:val="1A6E3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EA2C7F"/>
    <w:multiLevelType w:val="hybridMultilevel"/>
    <w:tmpl w:val="25AEEC9A"/>
    <w:lvl w:ilvl="0" w:tplc="93280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C65A3"/>
    <w:multiLevelType w:val="multilevel"/>
    <w:tmpl w:val="EEC814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AB7BD5"/>
    <w:multiLevelType w:val="multilevel"/>
    <w:tmpl w:val="97A8A0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F146F9"/>
    <w:multiLevelType w:val="multilevel"/>
    <w:tmpl w:val="183880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6351D0"/>
    <w:multiLevelType w:val="hybridMultilevel"/>
    <w:tmpl w:val="005E8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65D0F"/>
    <w:multiLevelType w:val="hybridMultilevel"/>
    <w:tmpl w:val="BB32FA72"/>
    <w:lvl w:ilvl="0" w:tplc="985A56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D1844"/>
    <w:multiLevelType w:val="multilevel"/>
    <w:tmpl w:val="388A8B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32CDB"/>
    <w:multiLevelType w:val="hybridMultilevel"/>
    <w:tmpl w:val="E7E8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71678"/>
    <w:multiLevelType w:val="multilevel"/>
    <w:tmpl w:val="57F02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7"/>
  </w:num>
  <w:num w:numId="3">
    <w:abstractNumId w:val="2"/>
  </w:num>
  <w:num w:numId="4">
    <w:abstractNumId w:val="6"/>
  </w:num>
  <w:num w:numId="5">
    <w:abstractNumId w:val="1"/>
  </w:num>
  <w:num w:numId="6">
    <w:abstractNumId w:val="11"/>
  </w:num>
  <w:num w:numId="7">
    <w:abstractNumId w:val="3"/>
  </w:num>
  <w:num w:numId="8">
    <w:abstractNumId w:val="4"/>
  </w:num>
  <w:num w:numId="9">
    <w:abstractNumId w:val="5"/>
  </w:num>
  <w:num w:numId="10">
    <w:abstractNumId w:val="9"/>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A"/>
    <w:rsid w:val="00010977"/>
    <w:rsid w:val="00040221"/>
    <w:rsid w:val="00076C95"/>
    <w:rsid w:val="000A3A5B"/>
    <w:rsid w:val="000A7271"/>
    <w:rsid w:val="000B00E8"/>
    <w:rsid w:val="000B57B5"/>
    <w:rsid w:val="00104D14"/>
    <w:rsid w:val="001279E1"/>
    <w:rsid w:val="001324B0"/>
    <w:rsid w:val="001445BD"/>
    <w:rsid w:val="00161C01"/>
    <w:rsid w:val="00175F40"/>
    <w:rsid w:val="001B60D8"/>
    <w:rsid w:val="001C5DAA"/>
    <w:rsid w:val="001C6455"/>
    <w:rsid w:val="001F3743"/>
    <w:rsid w:val="002275C0"/>
    <w:rsid w:val="00255356"/>
    <w:rsid w:val="00262903"/>
    <w:rsid w:val="00264AC9"/>
    <w:rsid w:val="002650C8"/>
    <w:rsid w:val="00273A4C"/>
    <w:rsid w:val="002971DB"/>
    <w:rsid w:val="002A0E1F"/>
    <w:rsid w:val="002F4A20"/>
    <w:rsid w:val="00305A86"/>
    <w:rsid w:val="003640C7"/>
    <w:rsid w:val="00390F29"/>
    <w:rsid w:val="003B2797"/>
    <w:rsid w:val="003B28F1"/>
    <w:rsid w:val="003D64E6"/>
    <w:rsid w:val="00431399"/>
    <w:rsid w:val="00433F6F"/>
    <w:rsid w:val="00437F05"/>
    <w:rsid w:val="00477FFB"/>
    <w:rsid w:val="0048618A"/>
    <w:rsid w:val="004A56F5"/>
    <w:rsid w:val="004B071B"/>
    <w:rsid w:val="004B6762"/>
    <w:rsid w:val="004F1CB3"/>
    <w:rsid w:val="00514295"/>
    <w:rsid w:val="00543A49"/>
    <w:rsid w:val="005559D5"/>
    <w:rsid w:val="005821B1"/>
    <w:rsid w:val="00594C42"/>
    <w:rsid w:val="005D4A37"/>
    <w:rsid w:val="005D55B9"/>
    <w:rsid w:val="005E3BE7"/>
    <w:rsid w:val="005F5BD0"/>
    <w:rsid w:val="00612342"/>
    <w:rsid w:val="006211BA"/>
    <w:rsid w:val="00622F40"/>
    <w:rsid w:val="00624EFF"/>
    <w:rsid w:val="0063139E"/>
    <w:rsid w:val="006738E0"/>
    <w:rsid w:val="006752D8"/>
    <w:rsid w:val="00680941"/>
    <w:rsid w:val="006A1754"/>
    <w:rsid w:val="006D02D1"/>
    <w:rsid w:val="007C03FA"/>
    <w:rsid w:val="008019F6"/>
    <w:rsid w:val="00817F02"/>
    <w:rsid w:val="008370C4"/>
    <w:rsid w:val="00861BE7"/>
    <w:rsid w:val="0087265C"/>
    <w:rsid w:val="00873383"/>
    <w:rsid w:val="008801D1"/>
    <w:rsid w:val="0088438E"/>
    <w:rsid w:val="008A2931"/>
    <w:rsid w:val="008B12F1"/>
    <w:rsid w:val="0090323E"/>
    <w:rsid w:val="00924DAC"/>
    <w:rsid w:val="00936BCA"/>
    <w:rsid w:val="009C3DC5"/>
    <w:rsid w:val="009D1BE3"/>
    <w:rsid w:val="009E5559"/>
    <w:rsid w:val="00A30FE4"/>
    <w:rsid w:val="00A353AA"/>
    <w:rsid w:val="00A6235B"/>
    <w:rsid w:val="00A807CD"/>
    <w:rsid w:val="00A86D3E"/>
    <w:rsid w:val="00A9711A"/>
    <w:rsid w:val="00AB7758"/>
    <w:rsid w:val="00AE3E5F"/>
    <w:rsid w:val="00AF6747"/>
    <w:rsid w:val="00B07653"/>
    <w:rsid w:val="00B443CC"/>
    <w:rsid w:val="00B5472E"/>
    <w:rsid w:val="00B6798D"/>
    <w:rsid w:val="00B976E2"/>
    <w:rsid w:val="00BA1237"/>
    <w:rsid w:val="00BB4390"/>
    <w:rsid w:val="00BC0A2A"/>
    <w:rsid w:val="00BD4898"/>
    <w:rsid w:val="00C06C75"/>
    <w:rsid w:val="00C15D32"/>
    <w:rsid w:val="00C17FA7"/>
    <w:rsid w:val="00C27FC3"/>
    <w:rsid w:val="00C30522"/>
    <w:rsid w:val="00C42741"/>
    <w:rsid w:val="00C72E7E"/>
    <w:rsid w:val="00C911D9"/>
    <w:rsid w:val="00CA0290"/>
    <w:rsid w:val="00CB4BED"/>
    <w:rsid w:val="00CB6762"/>
    <w:rsid w:val="00CC6892"/>
    <w:rsid w:val="00CF79BD"/>
    <w:rsid w:val="00D03114"/>
    <w:rsid w:val="00D4614A"/>
    <w:rsid w:val="00D526C0"/>
    <w:rsid w:val="00D92245"/>
    <w:rsid w:val="00DC4C22"/>
    <w:rsid w:val="00DD7883"/>
    <w:rsid w:val="00DE0B42"/>
    <w:rsid w:val="00DF792C"/>
    <w:rsid w:val="00E077C7"/>
    <w:rsid w:val="00E25CCA"/>
    <w:rsid w:val="00E35679"/>
    <w:rsid w:val="00E454EA"/>
    <w:rsid w:val="00EC3C23"/>
    <w:rsid w:val="00F23235"/>
    <w:rsid w:val="00F41A18"/>
    <w:rsid w:val="00F53D48"/>
    <w:rsid w:val="00F75D88"/>
    <w:rsid w:val="00FB13BE"/>
    <w:rsid w:val="00FD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19C9C6"/>
  <w15:docId w15:val="{DE8B39F9-D8A8-401B-8CE6-6824B511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unhideWhenUsed/>
    <w:rsid w:val="00BC0A2A"/>
    <w:rPr>
      <w:color w:val="0000FF"/>
      <w:u w:val="single"/>
    </w:rPr>
  </w:style>
  <w:style w:type="paragraph" w:styleId="NormalWeb">
    <w:name w:val="Normal (Web)"/>
    <w:basedOn w:val="Normal"/>
    <w:uiPriority w:val="99"/>
    <w:semiHidden/>
    <w:unhideWhenUsed/>
    <w:rsid w:val="00BC0A2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C0A2A"/>
    <w:rPr>
      <w:i/>
      <w:iCs/>
    </w:rPr>
  </w:style>
  <w:style w:type="character" w:styleId="FollowedHyperlink">
    <w:name w:val="FollowedHyperlink"/>
    <w:basedOn w:val="DefaultParagraphFont"/>
    <w:uiPriority w:val="99"/>
    <w:semiHidden/>
    <w:unhideWhenUsed/>
    <w:rsid w:val="0063139E"/>
    <w:rPr>
      <w:color w:val="800080" w:themeColor="followedHyperlink"/>
      <w:u w:val="single"/>
    </w:rPr>
  </w:style>
  <w:style w:type="character" w:styleId="CommentReference">
    <w:name w:val="annotation reference"/>
    <w:basedOn w:val="DefaultParagraphFont"/>
    <w:uiPriority w:val="99"/>
    <w:semiHidden/>
    <w:unhideWhenUsed/>
    <w:rsid w:val="00CB6762"/>
    <w:rPr>
      <w:sz w:val="16"/>
      <w:szCs w:val="16"/>
    </w:rPr>
  </w:style>
  <w:style w:type="paragraph" w:styleId="CommentText">
    <w:name w:val="annotation text"/>
    <w:basedOn w:val="Normal"/>
    <w:link w:val="CommentTextChar"/>
    <w:uiPriority w:val="99"/>
    <w:semiHidden/>
    <w:unhideWhenUsed/>
    <w:rsid w:val="00CB6762"/>
    <w:rPr>
      <w:sz w:val="20"/>
      <w:szCs w:val="20"/>
    </w:rPr>
  </w:style>
  <w:style w:type="character" w:customStyle="1" w:styleId="CommentTextChar">
    <w:name w:val="Comment Text Char"/>
    <w:basedOn w:val="DefaultParagraphFont"/>
    <w:link w:val="CommentText"/>
    <w:uiPriority w:val="99"/>
    <w:semiHidden/>
    <w:rsid w:val="00CB67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B6762"/>
    <w:rPr>
      <w:b/>
      <w:bCs/>
    </w:rPr>
  </w:style>
  <w:style w:type="character" w:customStyle="1" w:styleId="CommentSubjectChar">
    <w:name w:val="Comment Subject Char"/>
    <w:basedOn w:val="CommentTextChar"/>
    <w:link w:val="CommentSubject"/>
    <w:uiPriority w:val="99"/>
    <w:semiHidden/>
    <w:rsid w:val="00CB676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fsu.edu/research-compliance" TargetMode="External"/><Relationship Id="rId13" Type="http://schemas.openxmlformats.org/officeDocument/2006/relationships/hyperlink" Target="mailto:orcp@fsu.edu" TargetMode="External"/><Relationship Id="rId18" Type="http://schemas.openxmlformats.org/officeDocument/2006/relationships/hyperlink" Target="mailto:ehs@admin.f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fr.gov/cgi-bin/text-idx?SID=65d9d167173614268a2b186a534cb296&amp;mc=true&amp;tpl=/ecfrbrowse/Title14/14chapterI.tpl" TargetMode="External"/><Relationship Id="rId7" Type="http://schemas.openxmlformats.org/officeDocument/2006/relationships/endnotes" Target="endnotes.xml"/><Relationship Id="rId12" Type="http://schemas.openxmlformats.org/officeDocument/2006/relationships/hyperlink" Target="mailto:rsch-compliance@fsu.edu" TargetMode="External"/><Relationship Id="rId17" Type="http://schemas.openxmlformats.org/officeDocument/2006/relationships/hyperlink" Target="mailto:dkey@fs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fsu.edu/research-compliance/export-controls/ecplan/" TargetMode="External"/><Relationship Id="rId20" Type="http://schemas.openxmlformats.org/officeDocument/2006/relationships/hyperlink" Target="http://tfr.faa.gov/save_pages/detail_4_36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myuas.fa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tia.doc.gov/files/ntia/publications/uas_privacy_best_practices_6-21-16.pdf" TargetMode="External"/><Relationship Id="rId23" Type="http://schemas.openxmlformats.org/officeDocument/2006/relationships/hyperlink" Target="http://www.leg.state.fl.us/Statutes/index.cfm?App_mode=Display_Statute&amp;Search_String=&amp;URL=0900-0999/0934/Sections/0934.50.html" TargetMode="External"/><Relationship Id="rId28" Type="http://schemas.openxmlformats.org/officeDocument/2006/relationships/theme" Target="theme/theme1.xml"/><Relationship Id="rId10" Type="http://schemas.openxmlformats.org/officeDocument/2006/relationships/hyperlink" Target="http://www.ecfr.gov/cgi-bin/text-idx?SID=4c667da07a4ddacf9c60f6b0822495e6&amp;mc=true&amp;node=pt14.1.48&amp;rgn=div5" TargetMode="External"/><Relationship Id="rId19" Type="http://schemas.openxmlformats.org/officeDocument/2006/relationships/hyperlink" Target="http://drones.fsu.edu/" TargetMode="External"/><Relationship Id="rId4" Type="http://schemas.openxmlformats.org/officeDocument/2006/relationships/settings" Target="settings.xml"/><Relationship Id="rId9" Type="http://schemas.openxmlformats.org/officeDocument/2006/relationships/hyperlink" Target="http://www.ecfr.gov/cgi-bin/text-idx?SID=0a32e2d35a5c5b8b88b93e62a71bfd6c&amp;mc=true&amp;tpl=/ecfrbrowse/Title14/14cfr107_main_02.tpl" TargetMode="External"/><Relationship Id="rId14" Type="http://schemas.openxmlformats.org/officeDocument/2006/relationships/hyperlink" Target="http://drones.fsu.edu/" TargetMode="External"/><Relationship Id="rId22" Type="http://schemas.openxmlformats.org/officeDocument/2006/relationships/hyperlink" Target="https://www.govtrack.us/congress/bills/112/hr658/text/enr"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y\AppData\Local\Temp\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3389FD75F4C79BA635621C84CE49B"/>
        <w:category>
          <w:name w:val="General"/>
          <w:gallery w:val="placeholder"/>
        </w:category>
        <w:types>
          <w:type w:val="bbPlcHdr"/>
        </w:types>
        <w:behaviors>
          <w:behavior w:val="content"/>
        </w:behaviors>
        <w:guid w:val="{1A6F8C13-E983-4471-8B8C-DD6E6ACF5F8A}"/>
      </w:docPartPr>
      <w:docPartBody>
        <w:p w:rsidR="00DA37CC" w:rsidRDefault="00DA37CC">
          <w:pPr>
            <w:pStyle w:val="C6B3389FD75F4C79BA635621C84CE49B"/>
          </w:pPr>
          <w:r>
            <w:rPr>
              <w:rStyle w:val="PlaceholderText"/>
            </w:rPr>
            <w:t>NUMBER</w:t>
          </w:r>
        </w:p>
      </w:docPartBody>
    </w:docPart>
    <w:docPart>
      <w:docPartPr>
        <w:name w:val="8470A32AE1724FB493514B7C497CC36C"/>
        <w:category>
          <w:name w:val="General"/>
          <w:gallery w:val="placeholder"/>
        </w:category>
        <w:types>
          <w:type w:val="bbPlcHdr"/>
        </w:types>
        <w:behaviors>
          <w:behavior w:val="content"/>
        </w:behaviors>
        <w:guid w:val="{22203BDE-6992-42C3-808C-E9D30949D0F0}"/>
      </w:docPartPr>
      <w:docPartBody>
        <w:p w:rsidR="00DA37CC" w:rsidRDefault="00DA37CC">
          <w:pPr>
            <w:pStyle w:val="8470A32AE1724FB493514B7C497CC36C"/>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48FE5DBD0D18421BB667C0F94E5BF4D1"/>
        <w:category>
          <w:name w:val="General"/>
          <w:gallery w:val="placeholder"/>
        </w:category>
        <w:types>
          <w:type w:val="bbPlcHdr"/>
        </w:types>
        <w:behaviors>
          <w:behavior w:val="content"/>
        </w:behaviors>
        <w:guid w:val="{D1DA6FBF-9D19-453A-A761-8601C3ED0128}"/>
      </w:docPartPr>
      <w:docPartBody>
        <w:p w:rsidR="00DA37CC" w:rsidRDefault="00DA37CC">
          <w:pPr>
            <w:pStyle w:val="48FE5DBD0D18421BB667C0F94E5BF4D1"/>
          </w:pPr>
          <w:r w:rsidRPr="00083929">
            <w:rPr>
              <w:rStyle w:val="PlaceholderText"/>
            </w:rPr>
            <w:t>Click here to enter</w:t>
          </w:r>
        </w:p>
      </w:docPartBody>
    </w:docPart>
    <w:docPart>
      <w:docPartPr>
        <w:name w:val="495FED55E2A64664A9C32F64F2FD7AE5"/>
        <w:category>
          <w:name w:val="General"/>
          <w:gallery w:val="placeholder"/>
        </w:category>
        <w:types>
          <w:type w:val="bbPlcHdr"/>
        </w:types>
        <w:behaviors>
          <w:behavior w:val="content"/>
        </w:behaviors>
        <w:guid w:val="{25440D0D-27F9-48CC-BCB1-D214CFF8D05D}"/>
      </w:docPartPr>
      <w:docPartBody>
        <w:p w:rsidR="00DA37CC" w:rsidRDefault="00DA37CC">
          <w:pPr>
            <w:pStyle w:val="495FED55E2A64664A9C32F64F2FD7AE5"/>
          </w:pPr>
          <w:r w:rsidRPr="00083929">
            <w:rPr>
              <w:rStyle w:val="PlaceholderText"/>
            </w:rPr>
            <w:t>Click here to enter</w:t>
          </w:r>
        </w:p>
      </w:docPartBody>
    </w:docPart>
    <w:docPart>
      <w:docPartPr>
        <w:name w:val="57EDEB5BAB0D46C2BF292487005CBB8A"/>
        <w:category>
          <w:name w:val="General"/>
          <w:gallery w:val="placeholder"/>
        </w:category>
        <w:types>
          <w:type w:val="bbPlcHdr"/>
        </w:types>
        <w:behaviors>
          <w:behavior w:val="content"/>
        </w:behaviors>
        <w:guid w:val="{EE52DBA9-F292-4D11-BE2E-2F48AACF78A4}"/>
      </w:docPartPr>
      <w:docPartBody>
        <w:p w:rsidR="00DA37CC" w:rsidRDefault="00DA37CC">
          <w:pPr>
            <w:pStyle w:val="57EDEB5BAB0D46C2BF292487005CBB8A"/>
          </w:pPr>
          <w:r>
            <w:rPr>
              <w:rStyle w:val="PlaceholderText"/>
            </w:rPr>
            <w:t>Example Text – 3-27-2014</w:t>
          </w:r>
        </w:p>
      </w:docPartBody>
    </w:docPart>
    <w:docPart>
      <w:docPartPr>
        <w:name w:val="B31141A1D0FF4792AC4100FA578EABB1"/>
        <w:category>
          <w:name w:val="General"/>
          <w:gallery w:val="placeholder"/>
        </w:category>
        <w:types>
          <w:type w:val="bbPlcHdr"/>
        </w:types>
        <w:behaviors>
          <w:behavior w:val="content"/>
        </w:behaviors>
        <w:guid w:val="{F1D855F7-B8BF-44E1-8C93-2F16E0D9CE52}"/>
      </w:docPartPr>
      <w:docPartBody>
        <w:p w:rsidR="00DA37CC" w:rsidRDefault="00DA37CC">
          <w:pPr>
            <w:pStyle w:val="B31141A1D0FF4792AC4100FA578EABB1"/>
          </w:pPr>
          <w:r>
            <w:rPr>
              <w:rStyle w:val="PlaceholderText"/>
            </w:rPr>
            <w:t>Example Text   ─   7-21-1967; 6-24-1977; 1-1-2001; 3-27-2014</w:t>
          </w:r>
        </w:p>
      </w:docPartBody>
    </w:docPart>
    <w:docPart>
      <w:docPartPr>
        <w:name w:val="A222788D5A2147B2A41BBB3B5407C40B"/>
        <w:category>
          <w:name w:val="General"/>
          <w:gallery w:val="placeholder"/>
        </w:category>
        <w:types>
          <w:type w:val="bbPlcHdr"/>
        </w:types>
        <w:behaviors>
          <w:behavior w:val="content"/>
        </w:behaviors>
        <w:guid w:val="{5F0F28ED-E54C-4BFA-A58D-9E9CEB3C8AD7}"/>
      </w:docPartPr>
      <w:docPartBody>
        <w:p w:rsidR="00DA37CC" w:rsidRDefault="00DA37CC">
          <w:pPr>
            <w:pStyle w:val="A222788D5A2147B2A41BBB3B5407C40B"/>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5728A92016C94C16ABF5BD67281BF484"/>
        <w:category>
          <w:name w:val="General"/>
          <w:gallery w:val="placeholder"/>
        </w:category>
        <w:types>
          <w:type w:val="bbPlcHdr"/>
        </w:types>
        <w:behaviors>
          <w:behavior w:val="content"/>
        </w:behaviors>
        <w:guid w:val="{776A25C5-4CE4-47AB-8347-892E8EDBA142}"/>
      </w:docPartPr>
      <w:docPartBody>
        <w:p w:rsidR="00DA37CC" w:rsidRDefault="00DA37CC">
          <w:pPr>
            <w:pStyle w:val="5728A92016C94C16ABF5BD67281BF484"/>
          </w:pPr>
          <w:r w:rsidRPr="00083929">
            <w:rPr>
              <w:rStyle w:val="PlaceholderText"/>
            </w:rPr>
            <w:t xml:space="preserve">Click here to enter </w:t>
          </w:r>
          <w:r>
            <w:rPr>
              <w:rStyle w:val="PlaceholderText"/>
            </w:rPr>
            <w:t>Policy</w:t>
          </w:r>
        </w:p>
      </w:docPartBody>
    </w:docPart>
    <w:docPart>
      <w:docPartPr>
        <w:name w:val="A99F9AC2CAE74A39A6543CBCA2C50391"/>
        <w:category>
          <w:name w:val="General"/>
          <w:gallery w:val="placeholder"/>
        </w:category>
        <w:types>
          <w:type w:val="bbPlcHdr"/>
        </w:types>
        <w:behaviors>
          <w:behavior w:val="content"/>
        </w:behaviors>
        <w:guid w:val="{3CFB5DCA-7BB0-496D-A99C-15A6FFBAE498}"/>
      </w:docPartPr>
      <w:docPartBody>
        <w:p w:rsidR="00DA37CC" w:rsidRDefault="00DA37CC">
          <w:pPr>
            <w:pStyle w:val="A99F9AC2CAE74A39A6543CBCA2C50391"/>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CC"/>
    <w:rsid w:val="00D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B3389FD75F4C79BA635621C84CE49B">
    <w:name w:val="C6B3389FD75F4C79BA635621C84CE49B"/>
  </w:style>
  <w:style w:type="paragraph" w:customStyle="1" w:styleId="8470A32AE1724FB493514B7C497CC36C">
    <w:name w:val="8470A32AE1724FB493514B7C497CC36C"/>
  </w:style>
  <w:style w:type="paragraph" w:customStyle="1" w:styleId="48FE5DBD0D18421BB667C0F94E5BF4D1">
    <w:name w:val="48FE5DBD0D18421BB667C0F94E5BF4D1"/>
  </w:style>
  <w:style w:type="paragraph" w:customStyle="1" w:styleId="495FED55E2A64664A9C32F64F2FD7AE5">
    <w:name w:val="495FED55E2A64664A9C32F64F2FD7AE5"/>
  </w:style>
  <w:style w:type="paragraph" w:customStyle="1" w:styleId="57EDEB5BAB0D46C2BF292487005CBB8A">
    <w:name w:val="57EDEB5BAB0D46C2BF292487005CBB8A"/>
  </w:style>
  <w:style w:type="paragraph" w:customStyle="1" w:styleId="B31141A1D0FF4792AC4100FA578EABB1">
    <w:name w:val="B31141A1D0FF4792AC4100FA578EABB1"/>
  </w:style>
  <w:style w:type="paragraph" w:customStyle="1" w:styleId="A222788D5A2147B2A41BBB3B5407C40B">
    <w:name w:val="A222788D5A2147B2A41BBB3B5407C40B"/>
  </w:style>
  <w:style w:type="paragraph" w:customStyle="1" w:styleId="5728A92016C94C16ABF5BD67281BF484">
    <w:name w:val="5728A92016C94C16ABF5BD67281BF484"/>
  </w:style>
  <w:style w:type="paragraph" w:customStyle="1" w:styleId="A99F9AC2CAE74A39A6543CBCA2C50391">
    <w:name w:val="A99F9AC2CAE74A39A6543CBCA2C5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B417-2FF2-41A3-ABD9-D1BD847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Template>
  <TotalTime>5</TotalTime>
  <Pages>9</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Key, Diana</dc:creator>
  <cp:lastModifiedBy>Sarah Mirkin</cp:lastModifiedBy>
  <cp:revision>6</cp:revision>
  <dcterms:created xsi:type="dcterms:W3CDTF">2017-07-14T19:05:00Z</dcterms:created>
  <dcterms:modified xsi:type="dcterms:W3CDTF">2017-07-14T19:26:00Z</dcterms:modified>
</cp:coreProperties>
</file>